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F43CFF5"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001E4021">
        <w:rPr>
          <w:rFonts w:ascii="Arial" w:hAnsi="Arial"/>
          <w:b/>
          <w:noProof/>
          <w:sz w:val="24"/>
          <w:szCs w:val="20"/>
          <w:lang w:val="en-GB"/>
        </w:rPr>
        <w:t>R3-2</w:t>
      </w:r>
      <w:r w:rsidR="00CD1993">
        <w:rPr>
          <w:rFonts w:ascii="Arial" w:hAnsi="Arial"/>
          <w:b/>
          <w:noProof/>
          <w:sz w:val="24"/>
          <w:szCs w:val="20"/>
          <w:lang w:val="en-GB"/>
        </w:rPr>
        <w:t>50294</w:t>
      </w:r>
    </w:p>
    <w:bookmarkEnd w:id="2"/>
    <w:bookmarkEnd w:id="3"/>
    <w:p w14:paraId="2707C80A" w14:textId="3DDDC00F" w:rsidR="0032543F" w:rsidRPr="0032543F" w:rsidRDefault="003C034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w:t>
      </w:r>
      <w:r w:rsidR="00CD1993">
        <w:rPr>
          <w:rFonts w:ascii="Arial" w:eastAsia="MS Mincho" w:hAnsi="Arial"/>
          <w:b/>
          <w:noProof/>
          <w:sz w:val="24"/>
          <w:szCs w:val="20"/>
          <w:lang w:val="fr-CA" w:eastAsia="zh-CN"/>
        </w:rPr>
        <w:t>reece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Feb</w:t>
      </w:r>
      <w:r w:rsidR="00CD1993">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50F2A004"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 xml:space="preserve">Discussion on </w:t>
      </w:r>
      <w:r w:rsidR="0030215B">
        <w:rPr>
          <w:rFonts w:ascii="Arial" w:hAnsi="Arial"/>
          <w:b/>
          <w:sz w:val="24"/>
          <w:szCs w:val="20"/>
          <w:lang w:val="en-GB" w:eastAsia="zh-CN"/>
        </w:rPr>
        <w:t xml:space="preserve">the XR </w:t>
      </w:r>
      <w:r w:rsidR="001E4021">
        <w:rPr>
          <w:rFonts w:ascii="Arial" w:hAnsi="Arial"/>
          <w:b/>
          <w:sz w:val="24"/>
          <w:szCs w:val="20"/>
          <w:lang w:val="en-GB" w:eastAsia="zh-CN"/>
        </w:rPr>
        <w:t>available data rate report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3FA66DDD" w:rsidR="009B36B0" w:rsidRPr="00C518F5" w:rsidRDefault="00545C58"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During RAN3#125 meeting, </w:t>
      </w:r>
      <w:r w:rsidR="00D52295">
        <w:rPr>
          <w:sz w:val="20"/>
          <w:szCs w:val="20"/>
          <w:lang w:val="en-GB" w:eastAsia="zh-CN"/>
        </w:rPr>
        <w:t>RAN3 provided feedback on RAN available data rate exposure</w:t>
      </w:r>
      <w:r w:rsidR="00E426A0">
        <w:rPr>
          <w:sz w:val="20"/>
          <w:szCs w:val="20"/>
          <w:lang w:val="en-GB" w:eastAsia="zh-CN"/>
        </w:rPr>
        <w:t>.</w:t>
      </w:r>
      <w:r w:rsidR="00500BD2">
        <w:rPr>
          <w:sz w:val="20"/>
          <w:szCs w:val="20"/>
          <w:lang w:val="en-GB" w:eastAsia="zh-CN"/>
        </w:rPr>
        <w:t xml:space="preserve"> </w:t>
      </w:r>
      <w:r w:rsidR="00AD1260">
        <w:rPr>
          <w:sz w:val="20"/>
          <w:szCs w:val="20"/>
          <w:lang w:val="en-GB" w:eastAsia="zh-CN"/>
        </w:rPr>
        <w:t>SA2 replie</w:t>
      </w:r>
      <w:r w:rsidR="00050977">
        <w:rPr>
          <w:sz w:val="20"/>
          <w:szCs w:val="20"/>
          <w:lang w:val="en-GB" w:eastAsia="zh-CN"/>
        </w:rPr>
        <w:t>d</w:t>
      </w:r>
      <w:r w:rsidR="00AD1260">
        <w:rPr>
          <w:sz w:val="20"/>
          <w:szCs w:val="20"/>
          <w:lang w:val="en-GB" w:eastAsia="zh-CN"/>
        </w:rPr>
        <w:t xml:space="preserve"> RAN3 with further clarification and explanation on the </w:t>
      </w:r>
      <w:r w:rsidR="007941F5">
        <w:rPr>
          <w:sz w:val="20"/>
          <w:szCs w:val="20"/>
          <w:lang w:val="en-GB" w:eastAsia="zh-CN"/>
        </w:rPr>
        <w:t>solution in S2-2412720</w:t>
      </w:r>
      <w:r w:rsidR="00CD1993">
        <w:rPr>
          <w:sz w:val="20"/>
          <w:szCs w:val="20"/>
          <w:lang w:val="en-GB" w:eastAsia="zh-CN"/>
        </w:rPr>
        <w:t>/</w:t>
      </w:r>
      <w:r w:rsidR="00CD1993" w:rsidRPr="00CD1993">
        <w:t xml:space="preserve"> </w:t>
      </w:r>
      <w:r w:rsidR="00CD1993" w:rsidRPr="00CD1993">
        <w:rPr>
          <w:sz w:val="20"/>
          <w:szCs w:val="20"/>
          <w:lang w:val="en-GB" w:eastAsia="zh-CN"/>
        </w:rPr>
        <w:t>R3-250018</w:t>
      </w:r>
      <w:r w:rsidR="007941F5">
        <w:rPr>
          <w:sz w:val="20"/>
          <w:szCs w:val="20"/>
          <w:lang w:val="en-GB" w:eastAsia="zh-CN"/>
        </w:rPr>
        <w:t xml:space="preserve"> [1]. In this contribution, we will analyse the </w:t>
      </w:r>
      <w:r w:rsidR="00AA30AA">
        <w:rPr>
          <w:sz w:val="20"/>
          <w:szCs w:val="20"/>
          <w:lang w:val="en-GB" w:eastAsia="zh-CN"/>
        </w:rPr>
        <w:t>RAN3 impacts based on the reply from SA2. Some potential specification impacts will be provided</w:t>
      </w:r>
      <w:r w:rsidR="0009570F">
        <w:rPr>
          <w:sz w:val="20"/>
          <w:szCs w:val="20"/>
          <w:lang w:val="en-GB" w:eastAsia="zh-CN"/>
        </w:rPr>
        <w:t xml:space="preserve"> in TPs [4] and [5]</w:t>
      </w:r>
      <w:r w:rsidR="00AA30AA">
        <w:rPr>
          <w:sz w:val="20"/>
          <w:szCs w:val="20"/>
          <w:lang w:val="en-GB" w:eastAsia="zh-CN"/>
        </w:rPr>
        <w:t xml:space="preserve"> </w:t>
      </w:r>
      <w:r w:rsidR="0009570F">
        <w:rPr>
          <w:sz w:val="20"/>
          <w:szCs w:val="20"/>
          <w:lang w:val="en-GB" w:eastAsia="zh-CN"/>
        </w:rPr>
        <w:t>based on the discussion in this contribution</w:t>
      </w:r>
      <w:r w:rsidR="00AA30AA">
        <w:rPr>
          <w:sz w:val="20"/>
          <w:szCs w:val="20"/>
          <w:lang w:val="en-GB" w:eastAsia="zh-CN"/>
        </w:rPr>
        <w:t>.</w:t>
      </w:r>
    </w:p>
    <w:p w14:paraId="6975CE7A" w14:textId="6F6D79B5"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68341C9E" w14:textId="3DF6D93B" w:rsidR="00094FE8" w:rsidRDefault="00581AD7"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S</w:t>
      </w:r>
      <w:r>
        <w:rPr>
          <w:sz w:val="20"/>
          <w:szCs w:val="20"/>
          <w:lang w:val="en-GB" w:eastAsia="zh-CN"/>
        </w:rPr>
        <w:t>A2 has investigated the solution to expose RAN available data rate to the application layer so that the application can adjust the data rate accordingly. RAN3 has replied to SA2 that it is feasible for NG-RAN node to provide the available data rate to CN via UP at least for semi-static periodicity traffic</w:t>
      </w:r>
      <w:r w:rsidR="006D605B">
        <w:rPr>
          <w:sz w:val="20"/>
          <w:szCs w:val="20"/>
          <w:lang w:val="en-GB" w:eastAsia="zh-CN"/>
        </w:rPr>
        <w:t xml:space="preserve"> in R3-244844 [2]</w:t>
      </w:r>
      <w:r>
        <w:rPr>
          <w:sz w:val="20"/>
          <w:szCs w:val="20"/>
          <w:lang w:val="en-GB" w:eastAsia="zh-CN"/>
        </w:rPr>
        <w:t xml:space="preserve">. </w:t>
      </w:r>
      <w:r w:rsidR="006D605B">
        <w:rPr>
          <w:sz w:val="20"/>
          <w:szCs w:val="20"/>
          <w:lang w:val="en-GB" w:eastAsia="zh-CN"/>
        </w:rPr>
        <w:t>Based on RAN3 feedback, SA2 provided more details of the solution in S2-2412720, which is excerpted below.</w:t>
      </w:r>
    </w:p>
    <w:tbl>
      <w:tblPr>
        <w:tblStyle w:val="ae"/>
        <w:tblW w:w="0" w:type="auto"/>
        <w:tblLook w:val="04A0" w:firstRow="1" w:lastRow="0" w:firstColumn="1" w:lastColumn="0" w:noHBand="0" w:noVBand="1"/>
      </w:tblPr>
      <w:tblGrid>
        <w:gridCol w:w="9629"/>
      </w:tblGrid>
      <w:tr w:rsidR="006D605B" w:rsidRPr="00BA09A8" w14:paraId="240100AF" w14:textId="77777777" w:rsidTr="006D605B">
        <w:tc>
          <w:tcPr>
            <w:tcW w:w="9629" w:type="dxa"/>
          </w:tcPr>
          <w:p w14:paraId="3E80307B" w14:textId="77777777" w:rsidR="006D605B" w:rsidRPr="00BA09A8" w:rsidRDefault="006D605B" w:rsidP="006D605B">
            <w:pPr>
              <w:pStyle w:val="af5"/>
              <w:numPr>
                <w:ilvl w:val="0"/>
                <w:numId w:val="30"/>
              </w:numPr>
              <w:overflowPunct/>
              <w:autoSpaceDE/>
              <w:autoSpaceDN/>
              <w:adjustRightInd/>
              <w:spacing w:afterLines="50" w:after="120"/>
              <w:contextualSpacing w:val="0"/>
              <w:textAlignment w:val="auto"/>
              <w:rPr>
                <w:i/>
                <w:iCs/>
                <w:lang w:eastAsia="zh-CN"/>
              </w:rPr>
            </w:pPr>
            <w:r w:rsidRPr="00BA09A8">
              <w:rPr>
                <w:i/>
                <w:iCs/>
                <w:lang w:eastAsia="zh-CN"/>
              </w:rPr>
              <w:t xml:space="preserve">For semi-static periodicity traffic, it is feasible for NG-RAN node to provide the available data rate to CN via UP. For dynamic traffic, some companies have concern that the reporting of available data rate may not be accurate. </w:t>
            </w:r>
          </w:p>
          <w:p w14:paraId="56D0BA2C" w14:textId="77777777" w:rsidR="006D605B" w:rsidRPr="00BA09A8" w:rsidRDefault="006D605B" w:rsidP="006D605B">
            <w:pPr>
              <w:pStyle w:val="af5"/>
              <w:spacing w:afterLines="50" w:after="120"/>
              <w:ind w:left="357"/>
              <w:rPr>
                <w:i/>
                <w:iCs/>
                <w:lang w:eastAsia="zh-CN"/>
              </w:rPr>
            </w:pPr>
            <w:r w:rsidRPr="00BA09A8">
              <w:rPr>
                <w:i/>
                <w:iCs/>
                <w:lang w:eastAsia="zh-CN"/>
              </w:rPr>
              <w:t>RAN3 would like SA2 to further clarify the definition of “available data rate”, e.g., it is only below the GFBR, or between GFBR and MFBR, or even above MBFR; whether it should be periodic reporting, on demand reporting, or threshold(s) defined reporting.</w:t>
            </w:r>
          </w:p>
          <w:p w14:paraId="2082FB82" w14:textId="77777777" w:rsidR="006D605B" w:rsidRPr="00BA09A8" w:rsidRDefault="006D605B" w:rsidP="006D605B">
            <w:pPr>
              <w:rPr>
                <w:rFonts w:ascii="Arial" w:hAnsi="Arial" w:cs="Arial"/>
                <w:b/>
                <w:color w:val="000000"/>
                <w:sz w:val="20"/>
                <w:szCs w:val="20"/>
              </w:rPr>
            </w:pPr>
            <w:r w:rsidRPr="00BA09A8">
              <w:rPr>
                <w:rFonts w:ascii="Arial" w:hAnsi="Arial" w:cs="Arial" w:hint="eastAsia"/>
                <w:b/>
                <w:color w:val="000000"/>
                <w:sz w:val="20"/>
                <w:szCs w:val="20"/>
              </w:rPr>
              <w:t>F</w:t>
            </w:r>
            <w:r w:rsidRPr="00BA09A8">
              <w:rPr>
                <w:rFonts w:ascii="Arial" w:hAnsi="Arial" w:cs="Arial"/>
                <w:b/>
                <w:color w:val="000000"/>
                <w:sz w:val="20"/>
                <w:szCs w:val="20"/>
              </w:rPr>
              <w:t xml:space="preserve">eedback </w:t>
            </w:r>
            <w:r w:rsidRPr="00BA09A8">
              <w:rPr>
                <w:rFonts w:ascii="Arial" w:hAnsi="Arial" w:cs="Arial" w:hint="eastAsia"/>
                <w:b/>
                <w:color w:val="000000"/>
                <w:sz w:val="20"/>
                <w:szCs w:val="20"/>
              </w:rPr>
              <w:t>from</w:t>
            </w:r>
            <w:r w:rsidRPr="00BA09A8">
              <w:rPr>
                <w:rFonts w:ascii="Arial" w:hAnsi="Arial" w:cs="Arial"/>
                <w:b/>
                <w:color w:val="000000"/>
                <w:sz w:val="20"/>
                <w:szCs w:val="20"/>
              </w:rPr>
              <w:t xml:space="preserve"> SA2: </w:t>
            </w:r>
          </w:p>
          <w:p w14:paraId="5BF775AE" w14:textId="77777777" w:rsidR="006D605B" w:rsidRPr="00BA09A8" w:rsidRDefault="006D605B" w:rsidP="006D605B">
            <w:pPr>
              <w:rPr>
                <w:rFonts w:ascii="Arial" w:hAnsi="Arial" w:cs="Arial"/>
                <w:color w:val="000000"/>
                <w:sz w:val="20"/>
                <w:szCs w:val="20"/>
              </w:rPr>
            </w:pPr>
            <w:r w:rsidRPr="00BA09A8">
              <w:rPr>
                <w:rFonts w:ascii="Arial" w:hAnsi="Arial" w:cs="Arial"/>
                <w:color w:val="000000"/>
                <w:sz w:val="20"/>
                <w:szCs w:val="20"/>
              </w:rPr>
              <w:t xml:space="preserve">From SA2 perspective, it is expected that the available data rate is </w:t>
            </w:r>
            <w:r w:rsidRPr="00045049">
              <w:rPr>
                <w:rFonts w:ascii="Arial" w:hAnsi="Arial" w:cs="Arial"/>
                <w:color w:val="000000"/>
                <w:sz w:val="20"/>
                <w:szCs w:val="20"/>
                <w:highlight w:val="yellow"/>
              </w:rPr>
              <w:t>properly reflecting the resources that are currently provided by the NG-RAN for the QoS Flow</w:t>
            </w:r>
            <w:r w:rsidRPr="00BA09A8">
              <w:rPr>
                <w:rFonts w:ascii="Arial" w:hAnsi="Arial" w:cs="Arial"/>
                <w:color w:val="000000"/>
                <w:sz w:val="20"/>
                <w:szCs w:val="20"/>
              </w:rPr>
              <w:t>. While it is up to the application layer how to make use of it, we can however assume that the application will typically exchange data with a somewhat lower rate than what is reserved or measured at NG-RAN.</w:t>
            </w:r>
            <w:r w:rsidRPr="00BA09A8">
              <w:rPr>
                <w:rFonts w:ascii="Arial" w:hAnsi="Arial" w:cs="Arial" w:hint="eastAsia"/>
                <w:color w:val="000000"/>
                <w:sz w:val="20"/>
                <w:szCs w:val="20"/>
              </w:rPr>
              <w:t xml:space="preserve"> </w:t>
            </w:r>
          </w:p>
          <w:p w14:paraId="3F6A6AAE" w14:textId="77777777" w:rsidR="006D605B" w:rsidRPr="00BA09A8" w:rsidRDefault="006D605B" w:rsidP="006D605B">
            <w:pPr>
              <w:rPr>
                <w:rFonts w:ascii="Arial" w:hAnsi="Arial" w:cs="Arial"/>
                <w:color w:val="000000"/>
                <w:sz w:val="20"/>
                <w:szCs w:val="20"/>
              </w:rPr>
            </w:pPr>
          </w:p>
          <w:p w14:paraId="708B6036" w14:textId="77777777" w:rsidR="006D605B" w:rsidRPr="00BA09A8" w:rsidRDefault="006D605B" w:rsidP="006D605B">
            <w:pPr>
              <w:rPr>
                <w:rFonts w:ascii="Arial" w:hAnsi="Arial" w:cs="Arial"/>
                <w:color w:val="000000"/>
                <w:sz w:val="20"/>
                <w:szCs w:val="20"/>
              </w:rPr>
            </w:pPr>
            <w:r w:rsidRPr="00BA09A8">
              <w:rPr>
                <w:rFonts w:ascii="Arial" w:hAnsi="Arial" w:cs="Arial"/>
                <w:color w:val="000000"/>
                <w:sz w:val="20"/>
                <w:szCs w:val="20"/>
              </w:rPr>
              <w:t xml:space="preserve">Regarding the definition of “available data rate”, it refers to the </w:t>
            </w:r>
            <w:r w:rsidRPr="00664B9F">
              <w:rPr>
                <w:rFonts w:ascii="Arial" w:hAnsi="Arial" w:cs="Arial"/>
                <w:color w:val="000000"/>
                <w:sz w:val="20"/>
                <w:szCs w:val="20"/>
                <w:highlight w:val="yellow"/>
              </w:rPr>
              <w:t>data rate that NG-RAN is currently able to provide for a QoS Flow with GFBR</w:t>
            </w:r>
            <w:r w:rsidRPr="00BA09A8">
              <w:rPr>
                <w:rFonts w:ascii="Arial" w:hAnsi="Arial" w:cs="Arial"/>
                <w:color w:val="000000"/>
                <w:sz w:val="20"/>
                <w:szCs w:val="20"/>
              </w:rPr>
              <w:t xml:space="preserve">. The “available data rate” </w:t>
            </w:r>
            <w:r w:rsidRPr="00BA09A8">
              <w:rPr>
                <w:rFonts w:ascii="Arial" w:hAnsi="Arial" w:cs="Arial" w:hint="eastAsia"/>
                <w:color w:val="000000"/>
                <w:sz w:val="20"/>
                <w:szCs w:val="20"/>
              </w:rPr>
              <w:t>c</w:t>
            </w:r>
            <w:r w:rsidRPr="00BA09A8">
              <w:rPr>
                <w:rFonts w:ascii="Arial" w:hAnsi="Arial" w:cs="Arial"/>
                <w:color w:val="000000"/>
                <w:sz w:val="20"/>
                <w:szCs w:val="20"/>
              </w:rPr>
              <w:t xml:space="preserve">an be between the GFBR and the MFBR for a QoS Flow with MFBR&gt;GFBR. The “available data rate” </w:t>
            </w:r>
            <w:r w:rsidRPr="00BA09A8">
              <w:rPr>
                <w:rFonts w:ascii="Arial" w:hAnsi="Arial" w:cs="Arial" w:hint="eastAsia"/>
                <w:color w:val="000000"/>
                <w:sz w:val="20"/>
                <w:szCs w:val="20"/>
              </w:rPr>
              <w:t>c</w:t>
            </w:r>
            <w:r w:rsidRPr="00BA09A8">
              <w:rPr>
                <w:rFonts w:ascii="Arial" w:hAnsi="Arial" w:cs="Arial"/>
                <w:color w:val="000000"/>
                <w:sz w:val="20"/>
                <w:szCs w:val="20"/>
              </w:rPr>
              <w:t xml:space="preserve">an also be below the GFBR for a QoS Flow with QoS Notification Control enabled without AQP. The “available data rate” should however not be above the MFBR (as the NG-RAN is not required to provide more resources that what is required for the MFBR). </w:t>
            </w:r>
          </w:p>
          <w:p w14:paraId="2DF6F101" w14:textId="77777777" w:rsidR="006D605B" w:rsidRPr="00BA09A8" w:rsidRDefault="006D605B" w:rsidP="006D605B">
            <w:pPr>
              <w:rPr>
                <w:rFonts w:ascii="Arial" w:hAnsi="Arial" w:cs="Arial"/>
                <w:color w:val="000000"/>
                <w:sz w:val="20"/>
                <w:szCs w:val="20"/>
              </w:rPr>
            </w:pPr>
          </w:p>
          <w:p w14:paraId="36061FDC" w14:textId="3E4F5623" w:rsidR="006D605B" w:rsidRPr="00BA09A8" w:rsidRDefault="006D605B" w:rsidP="00BA09A8">
            <w:pPr>
              <w:rPr>
                <w:sz w:val="20"/>
                <w:szCs w:val="20"/>
                <w:lang w:eastAsia="zh-CN"/>
              </w:rPr>
            </w:pPr>
            <w:r w:rsidRPr="00BA09A8">
              <w:rPr>
                <w:rFonts w:ascii="Arial" w:hAnsi="Arial" w:cs="Arial"/>
                <w:color w:val="000000"/>
                <w:sz w:val="20"/>
                <w:szCs w:val="20"/>
              </w:rPr>
              <w:t>Periodic reporting should not be useful for the application layer (as the “available data rate” should often be identical to the GFBR). Threshold based reporting is considered as useful with one or more threshold values provided by the application. When the data rate that NG-RAN is currently able to provide for a QoS Flow crosses one of the thresholds, the NG-RAN is expected to provide the reference to the respective threshold in the UL user plane packets and the application can then adjust its data rate accordingly. The usage of the first packets after a change in the “available data rate” should be sufficient to transfer the information to the UPF. Similar to the logic described in 23.501 clause 5.7.2.4.1a, the NG-RAN is expected to immediately report a change to a lower threshold value for the “available data rate” and a change to a higher threshold value with some hysteresis.</w:t>
            </w:r>
          </w:p>
        </w:tc>
      </w:tr>
    </w:tbl>
    <w:p w14:paraId="41F87437" w14:textId="48B4950C" w:rsidR="006D605B" w:rsidRDefault="00032F94" w:rsidP="00C05F04">
      <w:pPr>
        <w:overflowPunct w:val="0"/>
        <w:snapToGrid/>
        <w:spacing w:beforeLines="50" w:before="120" w:afterLines="50"/>
        <w:textAlignment w:val="baseline"/>
        <w:rPr>
          <w:sz w:val="20"/>
          <w:szCs w:val="20"/>
          <w:lang w:val="en-GB" w:eastAsia="zh-CN"/>
        </w:rPr>
      </w:pPr>
      <w:r>
        <w:rPr>
          <w:sz w:val="20"/>
          <w:szCs w:val="20"/>
          <w:lang w:val="en-GB" w:eastAsia="zh-CN"/>
        </w:rPr>
        <w:t>Regarding the details on the available data rate report, SA2 expects</w:t>
      </w:r>
      <w:r w:rsidR="00937AF0">
        <w:rPr>
          <w:sz w:val="20"/>
          <w:szCs w:val="20"/>
          <w:lang w:val="en-GB" w:eastAsia="zh-CN"/>
        </w:rPr>
        <w:t xml:space="preserve"> NG-RAN to provide the available data rate based on one or more thresholds provided by the application</w:t>
      </w:r>
      <w:r w:rsidR="003475D6">
        <w:rPr>
          <w:sz w:val="20"/>
          <w:szCs w:val="20"/>
          <w:lang w:val="en-GB" w:eastAsia="zh-CN"/>
        </w:rPr>
        <w:t xml:space="preserve">. </w:t>
      </w:r>
      <w:r w:rsidR="00797240">
        <w:rPr>
          <w:sz w:val="20"/>
          <w:szCs w:val="20"/>
          <w:lang w:val="en-GB" w:eastAsia="zh-CN"/>
        </w:rPr>
        <w:t>In our understanding, t</w:t>
      </w:r>
      <w:r w:rsidR="003475D6">
        <w:rPr>
          <w:sz w:val="20"/>
          <w:szCs w:val="20"/>
          <w:lang w:val="en-GB" w:eastAsia="zh-CN"/>
        </w:rPr>
        <w:t xml:space="preserve">he thresholds actually determine several ranges </w:t>
      </w:r>
      <w:r w:rsidR="003475D6">
        <w:rPr>
          <w:sz w:val="20"/>
          <w:szCs w:val="20"/>
          <w:lang w:val="en-GB" w:eastAsia="zh-CN"/>
        </w:rPr>
        <w:lastRenderedPageBreak/>
        <w:t>of data rate</w:t>
      </w:r>
      <w:r w:rsidR="00837BDF">
        <w:rPr>
          <w:sz w:val="20"/>
          <w:szCs w:val="20"/>
          <w:lang w:val="en-GB" w:eastAsia="zh-CN"/>
        </w:rPr>
        <w:t xml:space="preserve">. The NG-RAN node can </w:t>
      </w:r>
      <w:r w:rsidR="00E50BC5">
        <w:rPr>
          <w:rFonts w:hint="eastAsia"/>
          <w:sz w:val="20"/>
          <w:szCs w:val="20"/>
          <w:lang w:val="en-GB" w:eastAsia="zh-CN"/>
        </w:rPr>
        <w:t>use</w:t>
      </w:r>
      <w:r w:rsidR="00E50BC5">
        <w:rPr>
          <w:sz w:val="20"/>
          <w:szCs w:val="20"/>
          <w:lang w:val="en-GB" w:eastAsia="zh-CN"/>
        </w:rPr>
        <w:t xml:space="preserve"> </w:t>
      </w:r>
      <w:r w:rsidR="009E6A48">
        <w:rPr>
          <w:rFonts w:hint="eastAsia"/>
          <w:sz w:val="20"/>
          <w:szCs w:val="20"/>
          <w:lang w:val="en-GB" w:eastAsia="zh-CN"/>
        </w:rPr>
        <w:t>the</w:t>
      </w:r>
      <w:r w:rsidR="009E6A48">
        <w:rPr>
          <w:sz w:val="20"/>
          <w:szCs w:val="20"/>
          <w:lang w:val="en-GB" w:eastAsia="zh-CN"/>
        </w:rPr>
        <w:t xml:space="preserve"> </w:t>
      </w:r>
      <w:r w:rsidR="009E6A48">
        <w:rPr>
          <w:rFonts w:hint="eastAsia"/>
          <w:sz w:val="20"/>
          <w:szCs w:val="20"/>
          <w:lang w:val="en-GB" w:eastAsia="zh-CN"/>
        </w:rPr>
        <w:t>bits</w:t>
      </w:r>
      <w:r w:rsidR="009E6A48">
        <w:rPr>
          <w:sz w:val="20"/>
          <w:szCs w:val="20"/>
          <w:lang w:val="en-GB" w:eastAsia="zh-CN"/>
        </w:rPr>
        <w:t xml:space="preserve"> </w:t>
      </w:r>
      <w:r w:rsidR="00381135">
        <w:rPr>
          <w:rFonts w:hint="eastAsia"/>
          <w:sz w:val="20"/>
          <w:szCs w:val="20"/>
          <w:lang w:val="en-GB" w:eastAsia="zh-CN"/>
        </w:rPr>
        <w:t>referred</w:t>
      </w:r>
      <w:r w:rsidR="00381135">
        <w:rPr>
          <w:sz w:val="20"/>
          <w:szCs w:val="20"/>
          <w:lang w:val="en-GB" w:eastAsia="zh-CN"/>
        </w:rPr>
        <w:t xml:space="preserve"> </w:t>
      </w:r>
      <w:r w:rsidR="00381135">
        <w:rPr>
          <w:rFonts w:hint="eastAsia"/>
          <w:sz w:val="20"/>
          <w:szCs w:val="20"/>
          <w:lang w:val="en-GB" w:eastAsia="zh-CN"/>
        </w:rPr>
        <w:t>to</w:t>
      </w:r>
      <w:r w:rsidR="00381135">
        <w:rPr>
          <w:sz w:val="20"/>
          <w:szCs w:val="20"/>
          <w:lang w:val="en-GB" w:eastAsia="zh-CN"/>
        </w:rPr>
        <w:t xml:space="preserve"> </w:t>
      </w:r>
      <w:r w:rsidR="00381135">
        <w:rPr>
          <w:rFonts w:hint="eastAsia"/>
          <w:sz w:val="20"/>
          <w:szCs w:val="20"/>
          <w:lang w:val="en-GB" w:eastAsia="zh-CN"/>
        </w:rPr>
        <w:t>these</w:t>
      </w:r>
      <w:r w:rsidR="00381135">
        <w:rPr>
          <w:sz w:val="20"/>
          <w:szCs w:val="20"/>
          <w:lang w:val="en-GB" w:eastAsia="zh-CN"/>
        </w:rPr>
        <w:t xml:space="preserve"> </w:t>
      </w:r>
      <w:r w:rsidR="00381135">
        <w:rPr>
          <w:rFonts w:hint="eastAsia"/>
          <w:sz w:val="20"/>
          <w:szCs w:val="20"/>
          <w:lang w:val="en-GB" w:eastAsia="zh-CN"/>
        </w:rPr>
        <w:t>thresholds</w:t>
      </w:r>
      <w:r w:rsidR="00837BDF">
        <w:rPr>
          <w:sz w:val="20"/>
          <w:szCs w:val="20"/>
          <w:lang w:val="en-GB" w:eastAsia="zh-CN"/>
        </w:rPr>
        <w:t xml:space="preserve"> to indicate the range of the available data rate. </w:t>
      </w:r>
      <w:r w:rsidR="00381135">
        <w:rPr>
          <w:rFonts w:hint="eastAsia"/>
          <w:sz w:val="20"/>
          <w:szCs w:val="20"/>
          <w:lang w:val="en-GB" w:eastAsia="zh-CN"/>
        </w:rPr>
        <w:t>Such</w:t>
      </w:r>
      <w:r w:rsidR="007B419B">
        <w:rPr>
          <w:sz w:val="20"/>
          <w:szCs w:val="20"/>
          <w:lang w:val="en-GB" w:eastAsia="zh-CN"/>
        </w:rPr>
        <w:t xml:space="preserve"> available data rate </w:t>
      </w:r>
      <w:r w:rsidR="00381135">
        <w:rPr>
          <w:rFonts w:hint="eastAsia"/>
          <w:sz w:val="20"/>
          <w:szCs w:val="20"/>
          <w:lang w:val="en-GB" w:eastAsia="zh-CN"/>
        </w:rPr>
        <w:t>report</w:t>
      </w:r>
      <w:r w:rsidR="00381135">
        <w:rPr>
          <w:sz w:val="20"/>
          <w:szCs w:val="20"/>
          <w:lang w:val="en-GB" w:eastAsia="zh-CN"/>
        </w:rPr>
        <w:t xml:space="preserve"> </w:t>
      </w:r>
      <w:r w:rsidR="007B419B">
        <w:rPr>
          <w:sz w:val="20"/>
          <w:szCs w:val="20"/>
          <w:lang w:val="en-GB" w:eastAsia="zh-CN"/>
        </w:rPr>
        <w:t xml:space="preserve">by indicating </w:t>
      </w:r>
      <w:r w:rsidR="009C1347">
        <w:rPr>
          <w:sz w:val="20"/>
          <w:szCs w:val="20"/>
          <w:lang w:val="en-GB" w:eastAsia="zh-CN"/>
        </w:rPr>
        <w:t>a reference of the</w:t>
      </w:r>
      <w:r w:rsidR="007B419B">
        <w:rPr>
          <w:sz w:val="20"/>
          <w:szCs w:val="20"/>
          <w:lang w:val="en-GB" w:eastAsia="zh-CN"/>
        </w:rPr>
        <w:t xml:space="preserve"> respective threshold </w:t>
      </w:r>
      <w:r w:rsidR="00381135">
        <w:rPr>
          <w:rFonts w:hint="eastAsia"/>
          <w:sz w:val="20"/>
          <w:szCs w:val="20"/>
          <w:lang w:val="en-GB" w:eastAsia="zh-CN"/>
        </w:rPr>
        <w:t>can</w:t>
      </w:r>
      <w:r w:rsidR="00381135">
        <w:rPr>
          <w:sz w:val="20"/>
          <w:szCs w:val="20"/>
          <w:lang w:val="en-GB" w:eastAsia="zh-CN"/>
        </w:rPr>
        <w:t xml:space="preserve"> </w:t>
      </w:r>
      <w:r w:rsidR="00381135">
        <w:rPr>
          <w:rFonts w:hint="eastAsia"/>
          <w:sz w:val="20"/>
          <w:szCs w:val="20"/>
          <w:lang w:val="en-GB" w:eastAsia="zh-CN"/>
        </w:rPr>
        <w:t>be</w:t>
      </w:r>
      <w:r w:rsidR="00381135">
        <w:rPr>
          <w:sz w:val="20"/>
          <w:szCs w:val="20"/>
          <w:lang w:val="en-GB" w:eastAsia="zh-CN"/>
        </w:rPr>
        <w:t xml:space="preserve"> </w:t>
      </w:r>
      <w:r w:rsidR="00381135">
        <w:rPr>
          <w:rFonts w:hint="eastAsia"/>
          <w:sz w:val="20"/>
          <w:szCs w:val="20"/>
          <w:lang w:val="en-GB" w:eastAsia="zh-CN"/>
        </w:rPr>
        <w:t>carried</w:t>
      </w:r>
      <w:r w:rsidR="00381135">
        <w:rPr>
          <w:sz w:val="20"/>
          <w:szCs w:val="20"/>
          <w:lang w:val="en-GB" w:eastAsia="zh-CN"/>
        </w:rPr>
        <w:t xml:space="preserve"> </w:t>
      </w:r>
      <w:r w:rsidR="007B419B">
        <w:rPr>
          <w:sz w:val="20"/>
          <w:szCs w:val="20"/>
          <w:lang w:val="en-GB" w:eastAsia="zh-CN"/>
        </w:rPr>
        <w:t>via UP.</w:t>
      </w:r>
    </w:p>
    <w:p w14:paraId="19C26F65" w14:textId="242BE809" w:rsidR="00E95383" w:rsidRDefault="007B419B" w:rsidP="00C05F04">
      <w:pPr>
        <w:overflowPunct w:val="0"/>
        <w:snapToGrid/>
        <w:spacing w:beforeLines="50" w:before="120" w:afterLines="50"/>
        <w:textAlignment w:val="baseline"/>
        <w:rPr>
          <w:sz w:val="20"/>
          <w:szCs w:val="20"/>
          <w:lang w:val="en-GB" w:eastAsia="zh-CN"/>
        </w:rPr>
      </w:pPr>
      <w:r>
        <w:rPr>
          <w:sz w:val="20"/>
          <w:szCs w:val="20"/>
          <w:lang w:val="en-GB" w:eastAsia="zh-CN"/>
        </w:rPr>
        <w:t>For example, assum</w:t>
      </w:r>
      <w:r w:rsidR="00084028">
        <w:rPr>
          <w:sz w:val="20"/>
          <w:szCs w:val="20"/>
          <w:lang w:val="en-GB" w:eastAsia="zh-CN"/>
        </w:rPr>
        <w:t xml:space="preserve">ing that </w:t>
      </w:r>
      <w:r>
        <w:rPr>
          <w:sz w:val="20"/>
          <w:szCs w:val="20"/>
          <w:lang w:val="en-GB" w:eastAsia="zh-CN"/>
        </w:rPr>
        <w:t xml:space="preserve">there </w:t>
      </w:r>
      <w:r w:rsidR="009C1347">
        <w:rPr>
          <w:sz w:val="20"/>
          <w:szCs w:val="20"/>
          <w:lang w:val="en-GB" w:eastAsia="zh-CN"/>
        </w:rPr>
        <w:t>are three thresholds</w:t>
      </w:r>
      <w:r>
        <w:rPr>
          <w:sz w:val="20"/>
          <w:szCs w:val="20"/>
          <w:lang w:val="en-GB" w:eastAsia="zh-CN"/>
        </w:rPr>
        <w:t xml:space="preserve">, </w:t>
      </w:r>
      <w:r w:rsidR="009C1347">
        <w:rPr>
          <w:sz w:val="20"/>
          <w:szCs w:val="20"/>
          <w:lang w:val="en-GB" w:eastAsia="zh-CN"/>
        </w:rPr>
        <w:t>e.g. T1, T2 and T3</w:t>
      </w:r>
      <w:r w:rsidR="008511C7">
        <w:rPr>
          <w:sz w:val="20"/>
          <w:szCs w:val="20"/>
          <w:lang w:val="en-GB" w:eastAsia="zh-CN"/>
        </w:rPr>
        <w:t xml:space="preserve"> (T3&gt;T2&gt;T1)</w:t>
      </w:r>
      <w:r w:rsidR="009C1347">
        <w:rPr>
          <w:sz w:val="20"/>
          <w:szCs w:val="20"/>
          <w:lang w:val="en-GB" w:eastAsia="zh-CN"/>
        </w:rPr>
        <w:t xml:space="preserve">, the </w:t>
      </w:r>
      <w:r w:rsidR="007F7001">
        <w:rPr>
          <w:sz w:val="20"/>
          <w:szCs w:val="20"/>
          <w:lang w:val="en-GB" w:eastAsia="zh-CN"/>
        </w:rPr>
        <w:t>last reported</w:t>
      </w:r>
      <w:r w:rsidR="009C1347">
        <w:rPr>
          <w:sz w:val="20"/>
          <w:szCs w:val="20"/>
          <w:lang w:val="en-GB" w:eastAsia="zh-CN"/>
        </w:rPr>
        <w:t xml:space="preserve"> available data rate </w:t>
      </w:r>
      <w:r w:rsidR="001408FA">
        <w:rPr>
          <w:rFonts w:hint="eastAsia"/>
          <w:sz w:val="20"/>
          <w:szCs w:val="20"/>
          <w:lang w:val="en-GB" w:eastAsia="zh-CN"/>
        </w:rPr>
        <w:t>is</w:t>
      </w:r>
      <w:r w:rsidR="001408FA">
        <w:rPr>
          <w:sz w:val="20"/>
          <w:szCs w:val="20"/>
          <w:lang w:val="en-GB" w:eastAsia="zh-CN"/>
        </w:rPr>
        <w:t xml:space="preserve"> </w:t>
      </w:r>
      <w:r w:rsidR="007F7001">
        <w:rPr>
          <w:sz w:val="20"/>
          <w:szCs w:val="20"/>
          <w:lang w:val="en-GB" w:eastAsia="zh-CN"/>
        </w:rPr>
        <w:t xml:space="preserve">T1, which means the available data rate is in the interval between </w:t>
      </w:r>
      <w:r w:rsidR="009C1347">
        <w:rPr>
          <w:sz w:val="20"/>
          <w:szCs w:val="20"/>
          <w:lang w:val="en-GB" w:eastAsia="zh-CN"/>
        </w:rPr>
        <w:t>T1 and T2</w:t>
      </w:r>
      <w:r w:rsidR="009C1347">
        <w:rPr>
          <w:rFonts w:hint="eastAsia"/>
          <w:sz w:val="20"/>
          <w:szCs w:val="20"/>
          <w:lang w:val="en-GB" w:eastAsia="zh-CN"/>
        </w:rPr>
        <w:t xml:space="preserve">. </w:t>
      </w:r>
      <w:r w:rsidR="001408FA">
        <w:rPr>
          <w:rFonts w:hint="eastAsia"/>
          <w:sz w:val="20"/>
          <w:szCs w:val="20"/>
          <w:lang w:val="en-GB" w:eastAsia="zh-CN"/>
        </w:rPr>
        <w:t>After</w:t>
      </w:r>
      <w:r w:rsidR="001408FA">
        <w:rPr>
          <w:sz w:val="20"/>
          <w:szCs w:val="20"/>
          <w:lang w:val="en-GB" w:eastAsia="zh-CN"/>
        </w:rPr>
        <w:t xml:space="preserve"> </w:t>
      </w:r>
      <w:r w:rsidR="001408FA">
        <w:rPr>
          <w:rFonts w:hint="eastAsia"/>
          <w:sz w:val="20"/>
          <w:szCs w:val="20"/>
          <w:lang w:val="en-GB" w:eastAsia="zh-CN"/>
        </w:rPr>
        <w:t>a</w:t>
      </w:r>
      <w:r w:rsidR="001408FA">
        <w:rPr>
          <w:sz w:val="20"/>
          <w:szCs w:val="20"/>
          <w:lang w:val="en-GB" w:eastAsia="zh-CN"/>
        </w:rPr>
        <w:t xml:space="preserve"> </w:t>
      </w:r>
      <w:r w:rsidR="001408FA">
        <w:rPr>
          <w:rFonts w:hint="eastAsia"/>
          <w:sz w:val="20"/>
          <w:szCs w:val="20"/>
          <w:lang w:val="en-GB" w:eastAsia="zh-CN"/>
        </w:rPr>
        <w:t>while,</w:t>
      </w:r>
      <w:r w:rsidR="001408FA">
        <w:rPr>
          <w:sz w:val="20"/>
          <w:szCs w:val="20"/>
          <w:lang w:val="en-GB" w:eastAsia="zh-CN"/>
        </w:rPr>
        <w:t xml:space="preserve"> if</w:t>
      </w:r>
      <w:r w:rsidR="009C1347">
        <w:rPr>
          <w:sz w:val="20"/>
          <w:szCs w:val="20"/>
          <w:lang w:val="en-GB" w:eastAsia="zh-CN"/>
        </w:rPr>
        <w:t xml:space="preserve"> </w:t>
      </w:r>
      <w:r w:rsidR="001408FA">
        <w:rPr>
          <w:sz w:val="20"/>
          <w:szCs w:val="20"/>
          <w:lang w:val="en-GB" w:eastAsia="zh-CN"/>
        </w:rPr>
        <w:t xml:space="preserve">the NG-RAN node </w:t>
      </w:r>
      <w:r w:rsidR="00084028">
        <w:rPr>
          <w:sz w:val="20"/>
          <w:szCs w:val="20"/>
          <w:lang w:val="en-GB" w:eastAsia="zh-CN"/>
        </w:rPr>
        <w:t>is able to</w:t>
      </w:r>
      <w:r w:rsidR="009C1347">
        <w:rPr>
          <w:sz w:val="20"/>
          <w:szCs w:val="20"/>
          <w:lang w:val="en-GB" w:eastAsia="zh-CN"/>
        </w:rPr>
        <w:t xml:space="preserve"> </w:t>
      </w:r>
      <w:r w:rsidR="001408FA">
        <w:rPr>
          <w:sz w:val="20"/>
          <w:szCs w:val="20"/>
          <w:lang w:val="en-GB" w:eastAsia="zh-CN"/>
        </w:rPr>
        <w:t xml:space="preserve">allocate </w:t>
      </w:r>
      <w:r w:rsidR="009C1347">
        <w:rPr>
          <w:sz w:val="20"/>
          <w:szCs w:val="20"/>
          <w:lang w:val="en-GB" w:eastAsia="zh-CN"/>
        </w:rPr>
        <w:t xml:space="preserve">more resources </w:t>
      </w:r>
      <w:r w:rsidR="001408FA">
        <w:rPr>
          <w:sz w:val="20"/>
          <w:szCs w:val="20"/>
          <w:lang w:val="en-GB" w:eastAsia="zh-CN"/>
        </w:rPr>
        <w:t>to</w:t>
      </w:r>
      <w:r w:rsidR="009C1347">
        <w:rPr>
          <w:sz w:val="20"/>
          <w:szCs w:val="20"/>
          <w:lang w:val="en-GB" w:eastAsia="zh-CN"/>
        </w:rPr>
        <w:t xml:space="preserve"> the QoS flow, the available data rate</w:t>
      </w:r>
      <w:r w:rsidR="00404239">
        <w:rPr>
          <w:sz w:val="20"/>
          <w:szCs w:val="20"/>
          <w:lang w:val="en-GB" w:eastAsia="zh-CN"/>
        </w:rPr>
        <w:t xml:space="preserve"> is increased and</w:t>
      </w:r>
      <w:r w:rsidR="009C1347">
        <w:rPr>
          <w:sz w:val="20"/>
          <w:szCs w:val="20"/>
          <w:lang w:val="en-GB" w:eastAsia="zh-CN"/>
        </w:rPr>
        <w:t xml:space="preserve"> </w:t>
      </w:r>
      <w:r w:rsidR="00084028">
        <w:rPr>
          <w:sz w:val="20"/>
          <w:szCs w:val="20"/>
          <w:lang w:val="en-GB" w:eastAsia="zh-CN"/>
        </w:rPr>
        <w:t>reaches the interval between</w:t>
      </w:r>
      <w:r w:rsidR="009C1347">
        <w:rPr>
          <w:sz w:val="20"/>
          <w:szCs w:val="20"/>
          <w:lang w:val="en-GB" w:eastAsia="zh-CN"/>
        </w:rPr>
        <w:t xml:space="preserve"> T2 </w:t>
      </w:r>
      <w:r w:rsidR="00084028">
        <w:rPr>
          <w:sz w:val="20"/>
          <w:szCs w:val="20"/>
          <w:lang w:val="en-GB" w:eastAsia="zh-CN"/>
        </w:rPr>
        <w:t>and</w:t>
      </w:r>
      <w:r w:rsidR="009C1347">
        <w:rPr>
          <w:sz w:val="20"/>
          <w:szCs w:val="20"/>
          <w:lang w:val="en-GB" w:eastAsia="zh-CN"/>
        </w:rPr>
        <w:t xml:space="preserve"> T3. The</w:t>
      </w:r>
      <w:r w:rsidR="00404239">
        <w:rPr>
          <w:sz w:val="20"/>
          <w:szCs w:val="20"/>
          <w:lang w:val="en-GB" w:eastAsia="zh-CN"/>
        </w:rPr>
        <w:t>n the</w:t>
      </w:r>
      <w:r w:rsidR="009C1347">
        <w:rPr>
          <w:sz w:val="20"/>
          <w:szCs w:val="20"/>
          <w:lang w:val="en-GB" w:eastAsia="zh-CN"/>
        </w:rPr>
        <w:t xml:space="preserve"> NG-RAN node should notify the CN with the </w:t>
      </w:r>
      <w:r w:rsidR="00404239">
        <w:rPr>
          <w:sz w:val="20"/>
          <w:szCs w:val="20"/>
          <w:lang w:val="en-GB" w:eastAsia="zh-CN"/>
        </w:rPr>
        <w:t>updated value</w:t>
      </w:r>
      <w:r w:rsidR="009C1347">
        <w:rPr>
          <w:sz w:val="20"/>
          <w:szCs w:val="20"/>
          <w:lang w:val="en-GB" w:eastAsia="zh-CN"/>
        </w:rPr>
        <w:t xml:space="preserve">. For example, it can send a reference </w:t>
      </w:r>
      <w:r w:rsidR="00043AD5">
        <w:rPr>
          <w:sz w:val="20"/>
          <w:szCs w:val="20"/>
          <w:lang w:val="en-GB" w:eastAsia="zh-CN"/>
        </w:rPr>
        <w:t xml:space="preserve">corresponding to T2 </w:t>
      </w:r>
      <w:r w:rsidR="009C1347">
        <w:rPr>
          <w:sz w:val="20"/>
          <w:szCs w:val="20"/>
          <w:lang w:val="en-GB" w:eastAsia="zh-CN"/>
        </w:rPr>
        <w:t>to the CN</w:t>
      </w:r>
      <w:r w:rsidR="005F6833">
        <w:rPr>
          <w:sz w:val="20"/>
          <w:szCs w:val="20"/>
          <w:lang w:val="en-GB" w:eastAsia="zh-CN"/>
        </w:rPr>
        <w:t xml:space="preserve"> via UP</w:t>
      </w:r>
      <w:r w:rsidR="009C1347">
        <w:rPr>
          <w:sz w:val="20"/>
          <w:szCs w:val="20"/>
          <w:lang w:val="en-GB" w:eastAsia="zh-CN"/>
        </w:rPr>
        <w:t xml:space="preserve"> to indicate that the latest available data rate is within the range T2~T3.</w:t>
      </w:r>
      <w:r w:rsidR="00E95383">
        <w:rPr>
          <w:sz w:val="20"/>
          <w:szCs w:val="20"/>
          <w:lang w:val="en-GB" w:eastAsia="zh-CN"/>
        </w:rPr>
        <w:t xml:space="preserve"> </w:t>
      </w:r>
    </w:p>
    <w:p w14:paraId="3C8DB345" w14:textId="38905845" w:rsidR="00E95383" w:rsidRDefault="00E95383" w:rsidP="00C05F04">
      <w:pPr>
        <w:overflowPunct w:val="0"/>
        <w:snapToGrid/>
        <w:spacing w:beforeLines="50" w:before="120" w:afterLines="50"/>
        <w:textAlignment w:val="baseline"/>
        <w:rPr>
          <w:sz w:val="20"/>
          <w:szCs w:val="20"/>
          <w:lang w:val="en-GB" w:eastAsia="zh-CN"/>
        </w:rPr>
      </w:pPr>
      <w:r>
        <w:rPr>
          <w:sz w:val="20"/>
          <w:szCs w:val="20"/>
          <w:lang w:val="en-GB" w:eastAsia="zh-CN"/>
        </w:rPr>
        <w:t>The thresholds can be provided to NG-RAN by the CN</w:t>
      </w:r>
      <w:r w:rsidR="00F24596">
        <w:rPr>
          <w:sz w:val="20"/>
          <w:szCs w:val="20"/>
          <w:lang w:val="en-GB" w:eastAsia="zh-CN"/>
        </w:rPr>
        <w:t xml:space="preserve"> via CP</w:t>
      </w:r>
      <w:r>
        <w:rPr>
          <w:sz w:val="20"/>
          <w:szCs w:val="20"/>
          <w:lang w:val="en-GB" w:eastAsia="zh-CN"/>
        </w:rPr>
        <w:t xml:space="preserve">, e.g. as part of the QoS flow level QoS parameters. A potential implementation is that the CN provides NG-RAN with one or more thresholds along with their corresponding index(es). When the NG-RAN node </w:t>
      </w:r>
      <w:r w:rsidR="00136067">
        <w:rPr>
          <w:sz w:val="20"/>
          <w:szCs w:val="20"/>
          <w:lang w:val="en-GB" w:eastAsia="zh-CN"/>
        </w:rPr>
        <w:t xml:space="preserve">needs to </w:t>
      </w:r>
      <w:r>
        <w:rPr>
          <w:sz w:val="20"/>
          <w:szCs w:val="20"/>
          <w:lang w:val="en-GB" w:eastAsia="zh-CN"/>
        </w:rPr>
        <w:t>indicate the available data rate, it can send an index corresponding to one of the thresholds</w:t>
      </w:r>
      <w:r w:rsidR="00A15A02">
        <w:rPr>
          <w:sz w:val="20"/>
          <w:szCs w:val="20"/>
          <w:lang w:val="en-GB" w:eastAsia="zh-CN"/>
        </w:rPr>
        <w:t>,</w:t>
      </w:r>
      <w:r>
        <w:rPr>
          <w:sz w:val="20"/>
          <w:szCs w:val="20"/>
          <w:lang w:val="en-GB" w:eastAsia="zh-CN"/>
        </w:rPr>
        <w:t xml:space="preserve"> where the </w:t>
      </w:r>
      <w:r w:rsidR="00B23740">
        <w:rPr>
          <w:sz w:val="20"/>
          <w:szCs w:val="20"/>
          <w:lang w:val="en-GB" w:eastAsia="zh-CN"/>
        </w:rPr>
        <w:t xml:space="preserve">index </w:t>
      </w:r>
      <w:r w:rsidR="00B23740">
        <w:rPr>
          <w:i/>
          <w:sz w:val="20"/>
          <w:szCs w:val="20"/>
          <w:lang w:val="en-GB" w:eastAsia="zh-CN"/>
        </w:rPr>
        <w:t>i</w:t>
      </w:r>
      <w:r w:rsidR="00B23740">
        <w:rPr>
          <w:sz w:val="20"/>
          <w:szCs w:val="20"/>
          <w:lang w:val="en-GB" w:eastAsia="zh-CN"/>
        </w:rPr>
        <w:t xml:space="preserve"> </w:t>
      </w:r>
      <w:r>
        <w:rPr>
          <w:sz w:val="20"/>
          <w:szCs w:val="20"/>
          <w:lang w:val="en-GB" w:eastAsia="zh-CN"/>
        </w:rPr>
        <w:t xml:space="preserve">means the available data rate is </w:t>
      </w:r>
      <w:r w:rsidR="00B23740">
        <w:rPr>
          <w:sz w:val="20"/>
          <w:szCs w:val="20"/>
          <w:lang w:val="en-GB" w:eastAsia="zh-CN"/>
        </w:rPr>
        <w:t>in the range between</w:t>
      </w:r>
      <w:r>
        <w:rPr>
          <w:sz w:val="20"/>
          <w:szCs w:val="20"/>
          <w:lang w:val="en-GB" w:eastAsia="zh-CN"/>
        </w:rPr>
        <w:t xml:space="preserve"> the </w:t>
      </w:r>
      <w:proofErr w:type="spellStart"/>
      <w:r w:rsidR="00B23740" w:rsidRPr="00B23740">
        <w:rPr>
          <w:i/>
          <w:sz w:val="20"/>
          <w:szCs w:val="20"/>
          <w:lang w:val="en-GB" w:eastAsia="zh-CN"/>
        </w:rPr>
        <w:t>i</w:t>
      </w:r>
      <w:r w:rsidR="00B23740">
        <w:rPr>
          <w:sz w:val="20"/>
          <w:szCs w:val="20"/>
          <w:lang w:val="en-GB" w:eastAsia="zh-CN"/>
        </w:rPr>
        <w:t>th</w:t>
      </w:r>
      <w:proofErr w:type="spellEnd"/>
      <w:r w:rsidR="00B23740">
        <w:rPr>
          <w:sz w:val="20"/>
          <w:szCs w:val="20"/>
          <w:lang w:val="en-GB" w:eastAsia="zh-CN"/>
        </w:rPr>
        <w:t xml:space="preserve"> </w:t>
      </w:r>
      <w:r>
        <w:rPr>
          <w:sz w:val="20"/>
          <w:szCs w:val="20"/>
          <w:lang w:val="en-GB" w:eastAsia="zh-CN"/>
        </w:rPr>
        <w:t xml:space="preserve">threshold and </w:t>
      </w:r>
      <w:r w:rsidR="00B23740">
        <w:rPr>
          <w:sz w:val="20"/>
          <w:szCs w:val="20"/>
          <w:lang w:val="en-GB" w:eastAsia="zh-CN"/>
        </w:rPr>
        <w:t xml:space="preserve">the </w:t>
      </w:r>
      <w:r w:rsidR="00B23740" w:rsidRPr="00B23740">
        <w:rPr>
          <w:i/>
          <w:sz w:val="20"/>
          <w:szCs w:val="20"/>
          <w:lang w:val="en-GB" w:eastAsia="zh-CN"/>
        </w:rPr>
        <w:t>i+1</w:t>
      </w:r>
      <w:r w:rsidR="00B23740">
        <w:rPr>
          <w:sz w:val="20"/>
          <w:szCs w:val="20"/>
          <w:lang w:val="en-GB" w:eastAsia="zh-CN"/>
        </w:rPr>
        <w:t>th threshold</w:t>
      </w:r>
      <w:r>
        <w:rPr>
          <w:sz w:val="20"/>
          <w:szCs w:val="20"/>
          <w:lang w:val="en-GB" w:eastAsia="zh-CN"/>
        </w:rPr>
        <w:t>.</w:t>
      </w:r>
      <w:r w:rsidR="00207F83">
        <w:rPr>
          <w:sz w:val="20"/>
          <w:szCs w:val="20"/>
          <w:lang w:val="en-GB" w:eastAsia="zh-CN"/>
        </w:rPr>
        <w:t xml:space="preserve"> The thresholds can be provided for UL and DL separately.</w:t>
      </w:r>
      <w:r w:rsidR="00BF4A11">
        <w:rPr>
          <w:sz w:val="20"/>
          <w:szCs w:val="20"/>
          <w:lang w:val="en-GB" w:eastAsia="zh-CN"/>
        </w:rPr>
        <w:t xml:space="preserve"> </w:t>
      </w:r>
    </w:p>
    <w:p w14:paraId="5F5ED7EF" w14:textId="77777777" w:rsidR="00353BE7" w:rsidRDefault="00A371B2" w:rsidP="00C05F04">
      <w:pPr>
        <w:overflowPunct w:val="0"/>
        <w:snapToGrid/>
        <w:spacing w:beforeLines="50" w:before="120" w:afterLines="50"/>
        <w:textAlignment w:val="baseline"/>
        <w:rPr>
          <w:b/>
          <w:sz w:val="20"/>
          <w:szCs w:val="20"/>
          <w:lang w:val="en-GB" w:eastAsia="zh-CN"/>
        </w:rPr>
      </w:pPr>
      <w:r w:rsidRPr="00A371B2">
        <w:rPr>
          <w:b/>
          <w:i/>
          <w:sz w:val="20"/>
          <w:szCs w:val="20"/>
          <w:u w:val="single"/>
          <w:lang w:val="en-GB" w:eastAsia="zh-CN"/>
        </w:rPr>
        <w:t xml:space="preserve">Proposal </w:t>
      </w:r>
      <w:r w:rsidR="00A802BE">
        <w:rPr>
          <w:b/>
          <w:i/>
          <w:sz w:val="20"/>
          <w:szCs w:val="20"/>
          <w:u w:val="single"/>
          <w:lang w:val="en-GB" w:eastAsia="zh-CN"/>
        </w:rPr>
        <w:t>1</w:t>
      </w:r>
      <w:r w:rsidRPr="00A371B2">
        <w:rPr>
          <w:b/>
          <w:sz w:val="20"/>
          <w:szCs w:val="20"/>
          <w:lang w:val="en-GB" w:eastAsia="zh-CN"/>
        </w:rPr>
        <w:t>: CN provides one or more thresholds to NG-RAN</w:t>
      </w:r>
      <w:r w:rsidR="009C2131">
        <w:rPr>
          <w:b/>
          <w:sz w:val="20"/>
          <w:szCs w:val="20"/>
          <w:lang w:val="en-GB" w:eastAsia="zh-CN"/>
        </w:rPr>
        <w:t xml:space="preserve"> via CP</w:t>
      </w:r>
      <w:r w:rsidRPr="00A371B2">
        <w:rPr>
          <w:b/>
          <w:sz w:val="20"/>
          <w:szCs w:val="20"/>
          <w:lang w:val="en-GB" w:eastAsia="zh-CN"/>
        </w:rPr>
        <w:t>. NG-RAN indicates the available data rate based on the</w:t>
      </w:r>
      <w:r w:rsidR="00B23740">
        <w:rPr>
          <w:b/>
          <w:sz w:val="20"/>
          <w:szCs w:val="20"/>
          <w:lang w:val="en-GB" w:eastAsia="zh-CN"/>
        </w:rPr>
        <w:t>se configured</w:t>
      </w:r>
      <w:r w:rsidRPr="00A371B2">
        <w:rPr>
          <w:b/>
          <w:sz w:val="20"/>
          <w:szCs w:val="20"/>
          <w:lang w:val="en-GB" w:eastAsia="zh-CN"/>
        </w:rPr>
        <w:t xml:space="preserve"> thresholds</w:t>
      </w:r>
      <w:r w:rsidR="009C2131">
        <w:rPr>
          <w:b/>
          <w:sz w:val="20"/>
          <w:szCs w:val="20"/>
          <w:lang w:val="en-GB" w:eastAsia="zh-CN"/>
        </w:rPr>
        <w:t xml:space="preserve"> via UP</w:t>
      </w:r>
      <w:r w:rsidRPr="00A371B2">
        <w:rPr>
          <w:b/>
          <w:sz w:val="20"/>
          <w:szCs w:val="20"/>
          <w:lang w:val="en-GB" w:eastAsia="zh-CN"/>
        </w:rPr>
        <w:t>.</w:t>
      </w:r>
    </w:p>
    <w:p w14:paraId="2C8EBFD6" w14:textId="2012F729" w:rsidR="0096331A" w:rsidRDefault="00DE6AE9" w:rsidP="00C05F04">
      <w:pPr>
        <w:overflowPunct w:val="0"/>
        <w:snapToGrid/>
        <w:spacing w:beforeLines="50" w:before="120" w:afterLines="50"/>
        <w:textAlignment w:val="baseline"/>
        <w:rPr>
          <w:sz w:val="20"/>
          <w:szCs w:val="20"/>
          <w:lang w:val="en-GB" w:eastAsia="zh-CN"/>
        </w:rPr>
      </w:pPr>
      <w:r>
        <w:rPr>
          <w:sz w:val="20"/>
          <w:szCs w:val="20"/>
          <w:lang w:val="en-GB" w:eastAsia="zh-CN"/>
        </w:rPr>
        <w:t>A</w:t>
      </w:r>
      <w:r w:rsidR="006043A0">
        <w:rPr>
          <w:sz w:val="20"/>
          <w:szCs w:val="20"/>
          <w:lang w:val="en-GB" w:eastAsia="zh-CN"/>
        </w:rPr>
        <w:t xml:space="preserve">ccording the </w:t>
      </w:r>
      <w:r w:rsidR="007F03AB">
        <w:rPr>
          <w:sz w:val="20"/>
          <w:szCs w:val="20"/>
          <w:lang w:val="en-GB" w:eastAsia="zh-CN"/>
        </w:rPr>
        <w:t xml:space="preserve">SA2’s </w:t>
      </w:r>
      <w:r w:rsidR="006043A0">
        <w:rPr>
          <w:sz w:val="20"/>
          <w:szCs w:val="20"/>
          <w:lang w:val="en-GB" w:eastAsia="zh-CN"/>
        </w:rPr>
        <w:t>LS</w:t>
      </w:r>
      <w:r w:rsidR="007F03AB">
        <w:rPr>
          <w:sz w:val="20"/>
          <w:szCs w:val="20"/>
          <w:lang w:val="en-GB" w:eastAsia="zh-CN"/>
        </w:rPr>
        <w:t xml:space="preserve"> </w:t>
      </w:r>
      <w:r w:rsidR="007F03AB" w:rsidRPr="007F03AB">
        <w:rPr>
          <w:sz w:val="20"/>
          <w:szCs w:val="20"/>
          <w:lang w:val="en-GB" w:eastAsia="zh-CN"/>
        </w:rPr>
        <w:t>R3-250018</w:t>
      </w:r>
      <w:r w:rsidR="006043A0">
        <w:rPr>
          <w:sz w:val="20"/>
          <w:szCs w:val="20"/>
          <w:lang w:val="en-GB" w:eastAsia="zh-CN"/>
        </w:rPr>
        <w:t xml:space="preserve">, the QoS requirements of the QoS flow should also be considered when determining the available data rate. For </w:t>
      </w:r>
      <w:r w:rsidR="00667A2C">
        <w:rPr>
          <w:rFonts w:hint="eastAsia"/>
          <w:sz w:val="20"/>
          <w:szCs w:val="20"/>
          <w:lang w:val="en-GB" w:eastAsia="zh-CN"/>
        </w:rPr>
        <w:t>each</w:t>
      </w:r>
      <w:r w:rsidR="00667A2C">
        <w:rPr>
          <w:sz w:val="20"/>
          <w:szCs w:val="20"/>
          <w:lang w:val="en-GB" w:eastAsia="zh-CN"/>
        </w:rPr>
        <w:t xml:space="preserve"> </w:t>
      </w:r>
      <w:r w:rsidR="00353BE7">
        <w:rPr>
          <w:sz w:val="20"/>
          <w:szCs w:val="20"/>
          <w:lang w:val="en-GB" w:eastAsia="zh-CN"/>
        </w:rPr>
        <w:t>QoS flow</w:t>
      </w:r>
      <w:r w:rsidR="006043A0">
        <w:rPr>
          <w:sz w:val="20"/>
          <w:szCs w:val="20"/>
          <w:lang w:val="en-GB" w:eastAsia="zh-CN"/>
        </w:rPr>
        <w:t xml:space="preserve">, the indicated available data rate should not </w:t>
      </w:r>
      <w:r w:rsidR="00667A2C">
        <w:rPr>
          <w:sz w:val="20"/>
          <w:szCs w:val="20"/>
          <w:lang w:val="en-GB" w:eastAsia="zh-CN"/>
        </w:rPr>
        <w:t>over the</w:t>
      </w:r>
      <w:r w:rsidR="006043A0">
        <w:rPr>
          <w:sz w:val="20"/>
          <w:szCs w:val="20"/>
          <w:lang w:val="en-GB" w:eastAsia="zh-CN"/>
        </w:rPr>
        <w:t xml:space="preserve"> MFBR. If the QoS flow </w:t>
      </w:r>
      <w:r w:rsidR="00667A2C">
        <w:rPr>
          <w:sz w:val="20"/>
          <w:szCs w:val="20"/>
          <w:lang w:val="en-GB" w:eastAsia="zh-CN"/>
        </w:rPr>
        <w:t xml:space="preserve">is not configured with QNC or it </w:t>
      </w:r>
      <w:r w:rsidR="006043A0">
        <w:rPr>
          <w:sz w:val="20"/>
          <w:szCs w:val="20"/>
          <w:lang w:val="en-GB" w:eastAsia="zh-CN"/>
        </w:rPr>
        <w:t xml:space="preserve">is enabled with QNC but without AQP, </w:t>
      </w:r>
      <w:r w:rsidR="00667A2C">
        <w:rPr>
          <w:rFonts w:hint="eastAsia"/>
          <w:sz w:val="20"/>
          <w:szCs w:val="20"/>
          <w:lang w:val="en-GB" w:eastAsia="zh-CN"/>
        </w:rPr>
        <w:t>the</w:t>
      </w:r>
      <w:r w:rsidR="006043A0">
        <w:rPr>
          <w:sz w:val="20"/>
          <w:szCs w:val="20"/>
          <w:lang w:val="en-GB" w:eastAsia="zh-CN"/>
        </w:rPr>
        <w:t xml:space="preserve"> available data rate</w:t>
      </w:r>
      <w:r w:rsidR="00667A2C">
        <w:rPr>
          <w:sz w:val="20"/>
          <w:szCs w:val="20"/>
          <w:lang w:val="en-GB" w:eastAsia="zh-CN"/>
        </w:rPr>
        <w:t xml:space="preserve"> </w:t>
      </w:r>
      <w:r w:rsidR="00667A2C">
        <w:rPr>
          <w:rFonts w:hint="eastAsia"/>
          <w:sz w:val="20"/>
          <w:szCs w:val="20"/>
          <w:lang w:val="en-GB" w:eastAsia="zh-CN"/>
        </w:rPr>
        <w:t>reported</w:t>
      </w:r>
      <w:r w:rsidR="00667A2C">
        <w:rPr>
          <w:sz w:val="20"/>
          <w:szCs w:val="20"/>
          <w:lang w:val="en-GB" w:eastAsia="zh-CN"/>
        </w:rPr>
        <w:t xml:space="preserve"> </w:t>
      </w:r>
      <w:r w:rsidR="00667A2C">
        <w:rPr>
          <w:rFonts w:hint="eastAsia"/>
          <w:sz w:val="20"/>
          <w:szCs w:val="20"/>
          <w:lang w:val="en-GB" w:eastAsia="zh-CN"/>
        </w:rPr>
        <w:t>via</w:t>
      </w:r>
      <w:r w:rsidR="00667A2C">
        <w:rPr>
          <w:sz w:val="20"/>
          <w:szCs w:val="20"/>
          <w:lang w:val="en-GB" w:eastAsia="zh-CN"/>
        </w:rPr>
        <w:t xml:space="preserve"> </w:t>
      </w:r>
      <w:r w:rsidR="00667A2C">
        <w:rPr>
          <w:rFonts w:hint="eastAsia"/>
          <w:sz w:val="20"/>
          <w:szCs w:val="20"/>
          <w:lang w:val="en-GB" w:eastAsia="zh-CN"/>
        </w:rPr>
        <w:t>UP</w:t>
      </w:r>
      <w:r w:rsidR="00667A2C">
        <w:rPr>
          <w:sz w:val="20"/>
          <w:szCs w:val="20"/>
          <w:lang w:val="en-GB" w:eastAsia="zh-CN"/>
        </w:rPr>
        <w:t xml:space="preserve"> can be</w:t>
      </w:r>
      <w:r w:rsidR="006043A0">
        <w:rPr>
          <w:sz w:val="20"/>
          <w:szCs w:val="20"/>
          <w:lang w:val="en-GB" w:eastAsia="zh-CN"/>
        </w:rPr>
        <w:t xml:space="preserve"> smaller than GFBR.</w:t>
      </w:r>
      <w:r w:rsidR="00667A2C">
        <w:rPr>
          <w:sz w:val="20"/>
          <w:szCs w:val="20"/>
          <w:lang w:val="en-GB" w:eastAsia="zh-CN"/>
        </w:rPr>
        <w:t xml:space="preserve"> If the QoS flow is configured with AQP, the available data rate reported via UP should not be</w:t>
      </w:r>
      <w:r w:rsidR="00836188">
        <w:rPr>
          <w:sz w:val="20"/>
          <w:szCs w:val="20"/>
          <w:lang w:val="en-GB" w:eastAsia="zh-CN"/>
        </w:rPr>
        <w:t xml:space="preserve"> below the GFBR.</w:t>
      </w:r>
      <w:r w:rsidR="006043A0">
        <w:rPr>
          <w:sz w:val="20"/>
          <w:szCs w:val="20"/>
          <w:lang w:val="en-GB" w:eastAsia="zh-CN"/>
        </w:rPr>
        <w:t xml:space="preserve"> This provides the boundary of the available data rate.</w:t>
      </w:r>
      <w:r w:rsidR="00353BE7">
        <w:rPr>
          <w:rFonts w:hint="eastAsia"/>
          <w:sz w:val="20"/>
          <w:szCs w:val="20"/>
          <w:lang w:val="en-GB" w:eastAsia="zh-CN"/>
        </w:rPr>
        <w:t xml:space="preserve"> </w:t>
      </w:r>
      <w:r w:rsidR="00353BE7">
        <w:rPr>
          <w:sz w:val="20"/>
          <w:szCs w:val="20"/>
          <w:lang w:val="en-GB" w:eastAsia="zh-CN"/>
        </w:rPr>
        <w:t>F</w:t>
      </w:r>
      <w:r w:rsidR="00E95383">
        <w:rPr>
          <w:sz w:val="20"/>
          <w:szCs w:val="20"/>
          <w:lang w:val="en-GB" w:eastAsia="zh-CN"/>
        </w:rPr>
        <w:t>rom RAN3 perspective, the above limitations can be considered by the CN when providing the thresholds to NG-RAN. There is no need for NG-RAN to check whether the indicated available data rate is aligned with the QoS requirements.</w:t>
      </w:r>
    </w:p>
    <w:p w14:paraId="3B4C2944" w14:textId="4C25EFA0" w:rsidR="008B770B" w:rsidRPr="00760374" w:rsidRDefault="008B770B" w:rsidP="00C05F04">
      <w:pPr>
        <w:overflowPunct w:val="0"/>
        <w:snapToGrid/>
        <w:spacing w:beforeLines="50" w:before="120" w:afterLines="50"/>
        <w:textAlignment w:val="baseline"/>
        <w:rPr>
          <w:b/>
          <w:sz w:val="20"/>
          <w:szCs w:val="20"/>
          <w:lang w:val="en-GB" w:eastAsia="zh-CN"/>
        </w:rPr>
      </w:pPr>
      <w:r w:rsidRPr="00760374">
        <w:rPr>
          <w:b/>
          <w:i/>
          <w:sz w:val="20"/>
          <w:szCs w:val="20"/>
          <w:u w:val="single"/>
          <w:lang w:val="en-GB" w:eastAsia="zh-CN"/>
        </w:rPr>
        <w:t xml:space="preserve">Proposal </w:t>
      </w:r>
      <w:r w:rsidR="002F23FE">
        <w:rPr>
          <w:b/>
          <w:i/>
          <w:sz w:val="20"/>
          <w:szCs w:val="20"/>
          <w:u w:val="single"/>
          <w:lang w:val="en-GB" w:eastAsia="zh-CN"/>
        </w:rPr>
        <w:t>2</w:t>
      </w:r>
      <w:r w:rsidRPr="00760374">
        <w:rPr>
          <w:b/>
          <w:sz w:val="20"/>
          <w:szCs w:val="20"/>
          <w:lang w:val="en-GB" w:eastAsia="zh-CN"/>
        </w:rPr>
        <w:t>: MFBR and GFBR</w:t>
      </w:r>
      <w:r w:rsidR="00A15A02">
        <w:rPr>
          <w:b/>
          <w:sz w:val="20"/>
          <w:szCs w:val="20"/>
          <w:lang w:val="en-GB" w:eastAsia="zh-CN"/>
        </w:rPr>
        <w:t xml:space="preserve"> can be considered</w:t>
      </w:r>
      <w:r w:rsidRPr="00760374">
        <w:rPr>
          <w:b/>
          <w:sz w:val="20"/>
          <w:szCs w:val="20"/>
          <w:lang w:val="en-GB" w:eastAsia="zh-CN"/>
        </w:rPr>
        <w:t xml:space="preserve"> when setting the value</w:t>
      </w:r>
      <w:r w:rsidR="00460F6C">
        <w:rPr>
          <w:b/>
          <w:sz w:val="20"/>
          <w:szCs w:val="20"/>
          <w:lang w:val="en-GB" w:eastAsia="zh-CN"/>
        </w:rPr>
        <w:t>s</w:t>
      </w:r>
      <w:r w:rsidRPr="00760374">
        <w:rPr>
          <w:b/>
          <w:sz w:val="20"/>
          <w:szCs w:val="20"/>
          <w:lang w:val="en-GB" w:eastAsia="zh-CN"/>
        </w:rPr>
        <w:t xml:space="preserve"> of the thresholds.</w:t>
      </w:r>
    </w:p>
    <w:p w14:paraId="3E87F1DE" w14:textId="57AA8B91" w:rsidR="00E55130" w:rsidRDefault="00E55130" w:rsidP="00C05F04">
      <w:pPr>
        <w:overflowPunct w:val="0"/>
        <w:snapToGrid/>
        <w:spacing w:beforeLines="50" w:before="120" w:afterLines="50"/>
        <w:textAlignment w:val="baseline"/>
        <w:rPr>
          <w:sz w:val="20"/>
          <w:szCs w:val="20"/>
          <w:lang w:val="en-GB" w:eastAsia="zh-CN"/>
        </w:rPr>
      </w:pPr>
      <w:r w:rsidRPr="00E55130">
        <w:rPr>
          <w:noProof/>
          <w:sz w:val="20"/>
          <w:szCs w:val="20"/>
          <w:lang w:val="en-GB" w:eastAsia="zh-CN"/>
        </w:rPr>
        <mc:AlternateContent>
          <mc:Choice Requires="wps">
            <w:drawing>
              <wp:anchor distT="45720" distB="45720" distL="114300" distR="114300" simplePos="0" relativeHeight="251661312" behindDoc="0" locked="0" layoutInCell="1" allowOverlap="1" wp14:anchorId="116AA448" wp14:editId="4D9350DF">
                <wp:simplePos x="0" y="0"/>
                <wp:positionH relativeFrom="margin">
                  <wp:align>left</wp:align>
                </wp:positionH>
                <wp:positionV relativeFrom="paragraph">
                  <wp:posOffset>1158240</wp:posOffset>
                </wp:positionV>
                <wp:extent cx="6104255" cy="539115"/>
                <wp:effectExtent l="0" t="0" r="10795"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539115"/>
                        </a:xfrm>
                        <a:prstGeom prst="rect">
                          <a:avLst/>
                        </a:prstGeom>
                        <a:solidFill>
                          <a:srgbClr val="FFFFFF"/>
                        </a:solidFill>
                        <a:ln w="9525">
                          <a:solidFill>
                            <a:srgbClr val="000000"/>
                          </a:solidFill>
                          <a:miter lim="800000"/>
                          <a:headEnd/>
                          <a:tailEnd/>
                        </a:ln>
                      </wps:spPr>
                      <wps:txbx>
                        <w:txbxContent>
                          <w:p w14:paraId="5364015F" w14:textId="6A73E1F3" w:rsidR="00E55130" w:rsidRPr="00B96692" w:rsidRDefault="00B96692">
                            <w:pPr>
                              <w:rPr>
                                <w:color w:val="FF0000"/>
                              </w:rPr>
                            </w:pPr>
                            <w:r w:rsidRPr="00B96692">
                              <w:rPr>
                                <w:color w:val="FF0000"/>
                              </w:rPr>
                              <w:t>---------Excerption from TS 23.501--------</w:t>
                            </w:r>
                          </w:p>
                          <w:p w14:paraId="5C70F7CF" w14:textId="77777777" w:rsidR="00B96692" w:rsidRPr="00B96692" w:rsidRDefault="00B96692" w:rsidP="00B96692">
                            <w:pPr>
                              <w:keepNext/>
                              <w:keepLines/>
                              <w:overflowPunct w:val="0"/>
                              <w:snapToGrid/>
                              <w:spacing w:before="120" w:after="180"/>
                              <w:jc w:val="left"/>
                              <w:textAlignment w:val="baseline"/>
                              <w:outlineLvl w:val="4"/>
                              <w:rPr>
                                <w:rFonts w:ascii="Arial" w:eastAsiaTheme="minorEastAsia" w:hAnsi="Arial"/>
                                <w:szCs w:val="20"/>
                                <w:lang w:val="en-GB" w:eastAsia="en-GB"/>
                              </w:rPr>
                            </w:pPr>
                            <w:bookmarkStart w:id="5" w:name="_Toc36187726"/>
                            <w:bookmarkStart w:id="6" w:name="_Toc45183630"/>
                            <w:bookmarkStart w:id="7" w:name="_Toc47342472"/>
                            <w:bookmarkStart w:id="8" w:name="_Toc51769172"/>
                            <w:bookmarkStart w:id="9" w:name="_Toc153798667"/>
                            <w:r w:rsidRPr="00B96692">
                              <w:rPr>
                                <w:rFonts w:ascii="Arial" w:eastAsiaTheme="minorEastAsia" w:hAnsi="Arial"/>
                                <w:szCs w:val="20"/>
                                <w:lang w:val="en-GB" w:eastAsia="en-GB"/>
                              </w:rPr>
                              <w:t>5.7.2.4.1a</w:t>
                            </w:r>
                            <w:r w:rsidRPr="00B96692">
                              <w:rPr>
                                <w:rFonts w:ascii="Arial" w:eastAsiaTheme="minorEastAsia" w:hAnsi="Arial"/>
                                <w:szCs w:val="20"/>
                                <w:lang w:val="en-GB" w:eastAsia="en-GB"/>
                              </w:rPr>
                              <w:tab/>
                              <w:t>Notification Control without Alternative QoS Profiles</w:t>
                            </w:r>
                            <w:bookmarkEnd w:id="5"/>
                            <w:bookmarkEnd w:id="6"/>
                            <w:bookmarkEnd w:id="7"/>
                            <w:bookmarkEnd w:id="8"/>
                            <w:bookmarkEnd w:id="9"/>
                          </w:p>
                          <w:p w14:paraId="11ED69B5" w14:textId="6AA73E89" w:rsidR="00B96692" w:rsidRPr="00B96692" w:rsidRDefault="00B96692" w:rsidP="00B96692">
                            <w:pPr>
                              <w:rPr>
                                <w:color w:val="FF0000"/>
                              </w:rPr>
                            </w:pPr>
                            <w:r w:rsidRPr="00B96692">
                              <w:rPr>
                                <w:color w:val="FF0000"/>
                              </w:rPr>
                              <w:t>---------</w:t>
                            </w:r>
                            <w:r>
                              <w:rPr>
                                <w:color w:val="FF0000"/>
                              </w:rPr>
                              <w:t>unrelated parts are skipped</w:t>
                            </w:r>
                            <w:r w:rsidRPr="00B96692">
                              <w:rPr>
                                <w:color w:val="FF0000"/>
                              </w:rPr>
                              <w:t>--------</w:t>
                            </w:r>
                          </w:p>
                          <w:p w14:paraId="315FD569" w14:textId="455B32CF" w:rsidR="00B96692" w:rsidRPr="00B96692" w:rsidRDefault="00B96692" w:rsidP="00B96692">
                            <w:pPr>
                              <w:overflowPunct w:val="0"/>
                              <w:snapToGrid/>
                              <w:spacing w:after="180"/>
                              <w:jc w:val="left"/>
                              <w:textAlignment w:val="baseline"/>
                              <w:rPr>
                                <w:rFonts w:eastAsiaTheme="minorEastAsia"/>
                                <w:sz w:val="20"/>
                                <w:szCs w:val="20"/>
                                <w:lang w:val="en-GB" w:eastAsia="en-GB"/>
                              </w:rPr>
                            </w:pPr>
                            <w:r w:rsidRPr="00B96692">
                              <w:rPr>
                                <w:rFonts w:eastAsiaTheme="minorEastAsia"/>
                                <w:sz w:val="20"/>
                                <w:szCs w:val="20"/>
                                <w:lang w:val="en-GB" w:eastAsia="en-GB"/>
                              </w:rPr>
                              <w:t xml:space="preserve">When the NG-RAN determines that </w:t>
                            </w:r>
                            <w:r w:rsidRPr="00B96692">
                              <w:rPr>
                                <w:rFonts w:eastAsiaTheme="minorEastAsia"/>
                                <w:sz w:val="20"/>
                                <w:szCs w:val="20"/>
                                <w:lang w:val="en-GB" w:eastAsia="zh-CN"/>
                              </w:rPr>
                              <w:t>the GFBR, the PDB and the PER of the QoS profile</w:t>
                            </w:r>
                            <w:r w:rsidRPr="00B96692">
                              <w:rPr>
                                <w:rFonts w:eastAsiaTheme="minorEastAsia"/>
                                <w:sz w:val="20"/>
                                <w:szCs w:val="20"/>
                                <w:lang w:val="en-GB" w:eastAsia="en-GB"/>
                              </w:rPr>
                              <w:t xml:space="preserve"> can be fulfilled again for a QoS Flow (for which a notification that the "GFBR can no longer</w:t>
                            </w:r>
                            <w:r w:rsidRPr="00B96692" w:rsidDel="006D0ECC">
                              <w:rPr>
                                <w:rFonts w:eastAsiaTheme="minorEastAsia"/>
                                <w:sz w:val="20"/>
                                <w:szCs w:val="20"/>
                                <w:lang w:val="en-GB" w:eastAsia="en-GB"/>
                              </w:rPr>
                              <w:t xml:space="preserve"> </w:t>
                            </w:r>
                            <w:r w:rsidRPr="00B96692">
                              <w:rPr>
                                <w:rFonts w:eastAsiaTheme="minorEastAsia"/>
                                <w:sz w:val="20"/>
                                <w:szCs w:val="20"/>
                                <w:lang w:val="en-GB" w:eastAsia="en-GB"/>
                              </w:rPr>
                              <w:t>be guaranteed" has been sent), the NG-RAN shall send a notification, informing the SMF that the "</w:t>
                            </w:r>
                            <w:r w:rsidRPr="00B96692">
                              <w:rPr>
                                <w:rFonts w:eastAsiaTheme="minorEastAsia"/>
                                <w:sz w:val="20"/>
                                <w:szCs w:val="20"/>
                                <w:lang w:val="en-GB" w:eastAsia="zh-CN"/>
                              </w:rPr>
                              <w:t>GFBR</w:t>
                            </w:r>
                            <w:r w:rsidRPr="00B96692">
                              <w:rPr>
                                <w:rFonts w:eastAsiaTheme="minorEastAsia"/>
                                <w:sz w:val="20"/>
                                <w:szCs w:val="20"/>
                                <w:lang w:val="en-GB" w:eastAsia="en-GB"/>
                              </w:rPr>
                              <w:t xml:space="preserve"> can be guaranteed" again and the SMF may forward the notification to the PCF, see TS 23.503 [45]. The NG-RAN shall send a subsequent notification that the "GFBR can no longer be guaranteed" whenever necessary.</w:t>
                            </w:r>
                          </w:p>
                          <w:p w14:paraId="7AB00E4D" w14:textId="448AEA05" w:rsidR="00B96692" w:rsidRDefault="00B96692" w:rsidP="00B96692">
                            <w:r w:rsidRPr="00B96692">
                              <w:rPr>
                                <w:rFonts w:eastAsiaTheme="minorEastAsia"/>
                                <w:sz w:val="20"/>
                                <w:szCs w:val="20"/>
                                <w:lang w:val="en-GB" w:eastAsia="en-GB"/>
                              </w:rPr>
                              <w:t>NOTE 2:</w:t>
                            </w:r>
                            <w:r w:rsidRPr="00B96692">
                              <w:rPr>
                                <w:rFonts w:eastAsiaTheme="minorEastAsia"/>
                                <w:sz w:val="20"/>
                                <w:szCs w:val="20"/>
                                <w:lang w:val="en-GB" w:eastAsia="en-GB"/>
                              </w:rPr>
                              <w:tab/>
                            </w:r>
                            <w:r w:rsidRPr="00B96692">
                              <w:rPr>
                                <w:rFonts w:eastAsiaTheme="minorEastAsia"/>
                                <w:sz w:val="20"/>
                                <w:szCs w:val="20"/>
                                <w:highlight w:val="yellow"/>
                                <w:lang w:val="en-GB" w:eastAsia="en-GB"/>
                              </w:rPr>
                              <w:t>It is assumed that NG-RAN implementation will apply some hysteresis before determining that the "GFBR can be guaranteed again" and therefore a frequent signalling of "GFBR can be guaranteed again" followed by "GFBR can no longer be guaranteed" is not expected</w:t>
                            </w:r>
                            <w:r w:rsidRPr="00B96692">
                              <w:rPr>
                                <w:rFonts w:eastAsiaTheme="minorEastAsia"/>
                                <w:sz w:val="20"/>
                                <w:szCs w:val="20"/>
                                <w:lang w:val="en-GB"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6AA448" id="_x0000_t202" coordsize="21600,21600" o:spt="202" path="m,l,21600r21600,l21600,xe">
                <v:stroke joinstyle="miter"/>
                <v:path gradientshapeok="t" o:connecttype="rect"/>
              </v:shapetype>
              <v:shape id="文本框 2" o:spid="_x0000_s1026" type="#_x0000_t202" style="position:absolute;left:0;text-align:left;margin-left:0;margin-top:91.2pt;width:480.65pt;height:42.45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">
                <v:textbox style="mso-fit-shape-to-text:t">
                  <w:txbxContent>
                    <w:p w14:paraId="5364015F" w14:textId="6A73E1F3" w:rsidR="00E55130" w:rsidRPr="00B96692" w:rsidRDefault="00B96692">
                      <w:pPr>
                        <w:rPr>
                          <w:color w:val="FF0000"/>
                        </w:rPr>
                      </w:pPr>
                      <w:r w:rsidRPr="00B96692">
                        <w:rPr>
                          <w:color w:val="FF0000"/>
                        </w:rPr>
                        <w:t>---------Excerption from TS 23.501--------</w:t>
                      </w:r>
                    </w:p>
                    <w:p w14:paraId="5C70F7CF" w14:textId="77777777" w:rsidR="00B96692" w:rsidRPr="00B96692" w:rsidRDefault="00B96692" w:rsidP="00B96692">
                      <w:pPr>
                        <w:keepNext/>
                        <w:keepLines/>
                        <w:overflowPunct w:val="0"/>
                        <w:snapToGrid/>
                        <w:spacing w:before="120" w:after="180"/>
                        <w:jc w:val="left"/>
                        <w:textAlignment w:val="baseline"/>
                        <w:outlineLvl w:val="4"/>
                        <w:rPr>
                          <w:rFonts w:ascii="Arial" w:eastAsiaTheme="minorEastAsia" w:hAnsi="Arial"/>
                          <w:szCs w:val="20"/>
                          <w:lang w:val="en-GB" w:eastAsia="en-GB"/>
                        </w:rPr>
                      </w:pPr>
                      <w:bookmarkStart w:id="10" w:name="_Toc36187726"/>
                      <w:bookmarkStart w:id="11" w:name="_Toc45183630"/>
                      <w:bookmarkStart w:id="12" w:name="_Toc47342472"/>
                      <w:bookmarkStart w:id="13" w:name="_Toc51769172"/>
                      <w:bookmarkStart w:id="14" w:name="_Toc153798667"/>
                      <w:r w:rsidRPr="00B96692">
                        <w:rPr>
                          <w:rFonts w:ascii="Arial" w:eastAsiaTheme="minorEastAsia" w:hAnsi="Arial"/>
                          <w:szCs w:val="20"/>
                          <w:lang w:val="en-GB" w:eastAsia="en-GB"/>
                        </w:rPr>
                        <w:t>5.7.2.4.1a</w:t>
                      </w:r>
                      <w:r w:rsidRPr="00B96692">
                        <w:rPr>
                          <w:rFonts w:ascii="Arial" w:eastAsiaTheme="minorEastAsia" w:hAnsi="Arial"/>
                          <w:szCs w:val="20"/>
                          <w:lang w:val="en-GB" w:eastAsia="en-GB"/>
                        </w:rPr>
                        <w:tab/>
                        <w:t>Notification Control without Alternative QoS Profiles</w:t>
                      </w:r>
                      <w:bookmarkEnd w:id="10"/>
                      <w:bookmarkEnd w:id="11"/>
                      <w:bookmarkEnd w:id="12"/>
                      <w:bookmarkEnd w:id="13"/>
                      <w:bookmarkEnd w:id="14"/>
                    </w:p>
                    <w:p w14:paraId="11ED69B5" w14:textId="6AA73E89" w:rsidR="00B96692" w:rsidRPr="00B96692" w:rsidRDefault="00B96692" w:rsidP="00B96692">
                      <w:pPr>
                        <w:rPr>
                          <w:color w:val="FF0000"/>
                        </w:rPr>
                      </w:pPr>
                      <w:r w:rsidRPr="00B96692">
                        <w:rPr>
                          <w:color w:val="FF0000"/>
                        </w:rPr>
                        <w:t>---------</w:t>
                      </w:r>
                      <w:r>
                        <w:rPr>
                          <w:color w:val="FF0000"/>
                        </w:rPr>
                        <w:t>unrelated parts are skipped</w:t>
                      </w:r>
                      <w:r w:rsidRPr="00B96692">
                        <w:rPr>
                          <w:color w:val="FF0000"/>
                        </w:rPr>
                        <w:t>--------</w:t>
                      </w:r>
                    </w:p>
                    <w:p w14:paraId="315FD569" w14:textId="455B32CF" w:rsidR="00B96692" w:rsidRPr="00B96692" w:rsidRDefault="00B96692" w:rsidP="00B96692">
                      <w:pPr>
                        <w:overflowPunct w:val="0"/>
                        <w:snapToGrid/>
                        <w:spacing w:after="180"/>
                        <w:jc w:val="left"/>
                        <w:textAlignment w:val="baseline"/>
                        <w:rPr>
                          <w:rFonts w:eastAsiaTheme="minorEastAsia"/>
                          <w:sz w:val="20"/>
                          <w:szCs w:val="20"/>
                          <w:lang w:val="en-GB" w:eastAsia="en-GB"/>
                        </w:rPr>
                      </w:pPr>
                      <w:r w:rsidRPr="00B96692">
                        <w:rPr>
                          <w:rFonts w:eastAsiaTheme="minorEastAsia"/>
                          <w:sz w:val="20"/>
                          <w:szCs w:val="20"/>
                          <w:lang w:val="en-GB" w:eastAsia="en-GB"/>
                        </w:rPr>
                        <w:t xml:space="preserve">When the NG-RAN determines that </w:t>
                      </w:r>
                      <w:r w:rsidRPr="00B96692">
                        <w:rPr>
                          <w:rFonts w:eastAsiaTheme="minorEastAsia"/>
                          <w:sz w:val="20"/>
                          <w:szCs w:val="20"/>
                          <w:lang w:val="en-GB" w:eastAsia="zh-CN"/>
                        </w:rPr>
                        <w:t>the GFBR, the PDB and the PER of the QoS profile</w:t>
                      </w:r>
                      <w:r w:rsidRPr="00B96692">
                        <w:rPr>
                          <w:rFonts w:eastAsiaTheme="minorEastAsia"/>
                          <w:sz w:val="20"/>
                          <w:szCs w:val="20"/>
                          <w:lang w:val="en-GB" w:eastAsia="en-GB"/>
                        </w:rPr>
                        <w:t xml:space="preserve"> can be fulfilled again for a QoS Flow (for which a notification that the "GFBR can no longer</w:t>
                      </w:r>
                      <w:r w:rsidRPr="00B96692" w:rsidDel="006D0ECC">
                        <w:rPr>
                          <w:rFonts w:eastAsiaTheme="minorEastAsia"/>
                          <w:sz w:val="20"/>
                          <w:szCs w:val="20"/>
                          <w:lang w:val="en-GB" w:eastAsia="en-GB"/>
                        </w:rPr>
                        <w:t xml:space="preserve"> </w:t>
                      </w:r>
                      <w:r w:rsidRPr="00B96692">
                        <w:rPr>
                          <w:rFonts w:eastAsiaTheme="minorEastAsia"/>
                          <w:sz w:val="20"/>
                          <w:szCs w:val="20"/>
                          <w:lang w:val="en-GB" w:eastAsia="en-GB"/>
                        </w:rPr>
                        <w:t>be guaranteed" has been sent), the NG-RAN shall send a notification, informing the SMF that the "</w:t>
                      </w:r>
                      <w:r w:rsidRPr="00B96692">
                        <w:rPr>
                          <w:rFonts w:eastAsiaTheme="minorEastAsia"/>
                          <w:sz w:val="20"/>
                          <w:szCs w:val="20"/>
                          <w:lang w:val="en-GB" w:eastAsia="zh-CN"/>
                        </w:rPr>
                        <w:t>GFBR</w:t>
                      </w:r>
                      <w:r w:rsidRPr="00B96692">
                        <w:rPr>
                          <w:rFonts w:eastAsiaTheme="minorEastAsia"/>
                          <w:sz w:val="20"/>
                          <w:szCs w:val="20"/>
                          <w:lang w:val="en-GB" w:eastAsia="en-GB"/>
                        </w:rPr>
                        <w:t xml:space="preserve"> can be guaranteed" again and the SMF may forward the notification to the PCF, see TS 23.503 [45]. The NG-RAN shall send a subsequent notification that the "GFBR can no longer be guaranteed" whenever necessary.</w:t>
                      </w:r>
                    </w:p>
                    <w:p w14:paraId="7AB00E4D" w14:textId="448AEA05" w:rsidR="00B96692" w:rsidRDefault="00B96692" w:rsidP="00B96692">
                      <w:r w:rsidRPr="00B96692">
                        <w:rPr>
                          <w:rFonts w:eastAsiaTheme="minorEastAsia"/>
                          <w:sz w:val="20"/>
                          <w:szCs w:val="20"/>
                          <w:lang w:val="en-GB" w:eastAsia="en-GB"/>
                        </w:rPr>
                        <w:t>NOTE 2:</w:t>
                      </w:r>
                      <w:r w:rsidRPr="00B96692">
                        <w:rPr>
                          <w:rFonts w:eastAsiaTheme="minorEastAsia"/>
                          <w:sz w:val="20"/>
                          <w:szCs w:val="20"/>
                          <w:lang w:val="en-GB" w:eastAsia="en-GB"/>
                        </w:rPr>
                        <w:tab/>
                      </w:r>
                      <w:r w:rsidRPr="00B96692">
                        <w:rPr>
                          <w:rFonts w:eastAsiaTheme="minorEastAsia"/>
                          <w:sz w:val="20"/>
                          <w:szCs w:val="20"/>
                          <w:highlight w:val="yellow"/>
                          <w:lang w:val="en-GB" w:eastAsia="en-GB"/>
                        </w:rPr>
                        <w:t>It is assumed that NG-RAN implementation will apply some hysteresis before determining that the "GFBR can be guaranteed again" and therefore a frequent signalling of "GFBR can be guaranteed again" followed by "GFBR can no longer be guaranteed" is not expected</w:t>
                      </w:r>
                      <w:r w:rsidRPr="00B96692">
                        <w:rPr>
                          <w:rFonts w:eastAsiaTheme="minorEastAsia"/>
                          <w:sz w:val="20"/>
                          <w:szCs w:val="20"/>
                          <w:lang w:val="en-GB" w:eastAsia="en-GB"/>
                        </w:rPr>
                        <w:t>.</w:t>
                      </w:r>
                    </w:p>
                  </w:txbxContent>
                </v:textbox>
                <w10:wrap type="topAndBottom" anchorx="margin"/>
              </v:shape>
            </w:pict>
          </mc:Fallback>
        </mc:AlternateContent>
      </w:r>
      <w:r w:rsidR="008B770B">
        <w:rPr>
          <w:sz w:val="20"/>
          <w:szCs w:val="20"/>
          <w:lang w:val="en-GB" w:eastAsia="zh-CN"/>
        </w:rPr>
        <w:t xml:space="preserve">Another point </w:t>
      </w:r>
      <w:r w:rsidR="006043A0">
        <w:rPr>
          <w:sz w:val="20"/>
          <w:szCs w:val="20"/>
          <w:lang w:val="en-GB" w:eastAsia="zh-CN"/>
        </w:rPr>
        <w:t xml:space="preserve">worth noting in the </w:t>
      </w:r>
      <w:r w:rsidR="00547F7B">
        <w:rPr>
          <w:sz w:val="20"/>
          <w:szCs w:val="20"/>
          <w:lang w:val="en-GB" w:eastAsia="zh-CN"/>
        </w:rPr>
        <w:t xml:space="preserve">SA2’s latest </w:t>
      </w:r>
      <w:r w:rsidR="006043A0">
        <w:rPr>
          <w:sz w:val="20"/>
          <w:szCs w:val="20"/>
          <w:lang w:val="en-GB" w:eastAsia="zh-CN"/>
        </w:rPr>
        <w:t xml:space="preserve">LS is that NG-RAN is expected to provide the updated available data rate information with some hysteresis when it changes to a higher threshold. While when the available data rate changes to a lower threshold, NG-RAN is expected to report the change immediately. The motivation to do so is to prevent ping-pong. </w:t>
      </w:r>
      <w:r w:rsidR="00647DD0">
        <w:rPr>
          <w:sz w:val="20"/>
          <w:szCs w:val="20"/>
          <w:lang w:val="en-GB" w:eastAsia="zh-CN"/>
        </w:rPr>
        <w:t xml:space="preserve">This should be considered in RAN3 specifications. However, it is difficult to modelling the </w:t>
      </w:r>
      <w:proofErr w:type="spellStart"/>
      <w:r w:rsidR="00647DD0">
        <w:rPr>
          <w:sz w:val="20"/>
          <w:szCs w:val="20"/>
          <w:lang w:val="en-GB" w:eastAsia="zh-CN"/>
        </w:rPr>
        <w:t>gNB</w:t>
      </w:r>
      <w:proofErr w:type="spellEnd"/>
      <w:r w:rsidR="00647DD0">
        <w:rPr>
          <w:sz w:val="20"/>
          <w:szCs w:val="20"/>
          <w:lang w:val="en-GB" w:eastAsia="zh-CN"/>
        </w:rPr>
        <w:t xml:space="preserve"> behaviour on when to report the available data rate after change. In our view, a proper way is to leave the hysteresis to network implementation. </w:t>
      </w:r>
      <w:r w:rsidR="00353BE7">
        <w:rPr>
          <w:sz w:val="20"/>
          <w:szCs w:val="20"/>
          <w:lang w:val="en-GB" w:eastAsia="zh-CN"/>
        </w:rPr>
        <w:t>Some description</w:t>
      </w:r>
      <w:r w:rsidR="00647DD0">
        <w:rPr>
          <w:sz w:val="20"/>
          <w:szCs w:val="20"/>
          <w:lang w:val="en-GB" w:eastAsia="zh-CN"/>
        </w:rPr>
        <w:t xml:space="preserve"> can be added on the specification to clarify this.</w:t>
      </w:r>
      <w:r>
        <w:rPr>
          <w:sz w:val="20"/>
          <w:szCs w:val="20"/>
          <w:lang w:val="en-GB" w:eastAsia="zh-CN"/>
        </w:rPr>
        <w:t xml:space="preserve"> We noticed that in TS 23.501, there is a NOTE to describe such kind of RAN </w:t>
      </w:r>
      <w:proofErr w:type="gramStart"/>
      <w:r>
        <w:rPr>
          <w:sz w:val="20"/>
          <w:szCs w:val="20"/>
          <w:lang w:val="en-GB" w:eastAsia="zh-CN"/>
        </w:rPr>
        <w:t>implementation based</w:t>
      </w:r>
      <w:proofErr w:type="gramEnd"/>
      <w:r>
        <w:rPr>
          <w:sz w:val="20"/>
          <w:szCs w:val="20"/>
          <w:lang w:val="en-GB" w:eastAsia="zh-CN"/>
        </w:rPr>
        <w:t xml:space="preserve"> hysteresis for QNC mechanism, which is excerpted as below. </w:t>
      </w:r>
    </w:p>
    <w:p w14:paraId="0306559A" w14:textId="02F368A6" w:rsidR="00B96692" w:rsidRDefault="00B96692"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hus, a straightforward way to capture such </w:t>
      </w:r>
      <w:r w:rsidR="003F7843">
        <w:rPr>
          <w:sz w:val="20"/>
          <w:szCs w:val="20"/>
          <w:lang w:val="en-GB" w:eastAsia="zh-CN"/>
        </w:rPr>
        <w:t>implementation-based</w:t>
      </w:r>
      <w:r>
        <w:rPr>
          <w:sz w:val="20"/>
          <w:szCs w:val="20"/>
          <w:lang w:val="en-GB" w:eastAsia="zh-CN"/>
        </w:rPr>
        <w:t xml:space="preserve"> hysteresis for reporting higher available data rate should also in SA2’s specification, RAN3 can coordinate with SA2 to capture this.  </w:t>
      </w:r>
    </w:p>
    <w:p w14:paraId="109430BC" w14:textId="5A14560F" w:rsidR="0032543F" w:rsidRDefault="0032543F" w:rsidP="00C05F04">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sidR="002F23FE">
        <w:rPr>
          <w:b/>
          <w:i/>
          <w:sz w:val="20"/>
          <w:szCs w:val="20"/>
          <w:u w:val="single"/>
          <w:lang w:val="en-GB" w:eastAsia="zh-CN"/>
        </w:rPr>
        <w:t>3</w:t>
      </w:r>
      <w:r w:rsidRPr="00F0305D">
        <w:rPr>
          <w:b/>
          <w:sz w:val="20"/>
          <w:szCs w:val="20"/>
          <w:lang w:val="en-GB" w:eastAsia="zh-CN"/>
        </w:rPr>
        <w:t>:</w:t>
      </w:r>
      <w:r w:rsidR="00A557FC">
        <w:rPr>
          <w:b/>
          <w:sz w:val="20"/>
          <w:szCs w:val="20"/>
          <w:lang w:val="en-GB" w:eastAsia="zh-CN"/>
        </w:rPr>
        <w:t xml:space="preserve"> </w:t>
      </w:r>
      <w:r w:rsidR="005029F8">
        <w:rPr>
          <w:b/>
          <w:sz w:val="20"/>
          <w:szCs w:val="20"/>
          <w:lang w:val="en-GB" w:eastAsia="zh-CN"/>
        </w:rPr>
        <w:t>RAN3</w:t>
      </w:r>
      <w:r w:rsidR="00E55130">
        <w:rPr>
          <w:b/>
          <w:sz w:val="20"/>
          <w:szCs w:val="20"/>
          <w:lang w:val="en-GB" w:eastAsia="zh-CN"/>
        </w:rPr>
        <w:t xml:space="preserve"> to ask SA2 to capture in their</w:t>
      </w:r>
      <w:r w:rsidR="005029F8">
        <w:rPr>
          <w:b/>
          <w:sz w:val="20"/>
          <w:szCs w:val="20"/>
          <w:lang w:val="en-GB" w:eastAsia="zh-CN"/>
        </w:rPr>
        <w:t xml:space="preserve"> specification</w:t>
      </w:r>
      <w:r w:rsidR="00DA1A9D">
        <w:rPr>
          <w:b/>
          <w:sz w:val="20"/>
          <w:szCs w:val="20"/>
          <w:lang w:val="en-GB" w:eastAsia="zh-CN"/>
        </w:rPr>
        <w:t xml:space="preserve"> that NG-RAN should </w:t>
      </w:r>
      <w:r w:rsidR="00DA1A9D" w:rsidRPr="00DA1A9D">
        <w:rPr>
          <w:b/>
          <w:sz w:val="20"/>
          <w:szCs w:val="20"/>
          <w:lang w:val="en-GB" w:eastAsia="zh-CN"/>
        </w:rPr>
        <w:t>immediately report a change to a lower threshold for the “available data rate” and a change to a higher threshold value with some hysteresis.</w:t>
      </w:r>
    </w:p>
    <w:p w14:paraId="7E0AF185" w14:textId="76E34907" w:rsidR="00126045" w:rsidRDefault="00126045"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Based on the above analysis, we provide </w:t>
      </w:r>
      <w:r w:rsidR="0009570F">
        <w:rPr>
          <w:sz w:val="20"/>
          <w:szCs w:val="20"/>
          <w:lang w:val="en-GB" w:eastAsia="zh-CN"/>
        </w:rPr>
        <w:t>some</w:t>
      </w:r>
      <w:r>
        <w:rPr>
          <w:sz w:val="20"/>
          <w:szCs w:val="20"/>
          <w:lang w:val="en-GB" w:eastAsia="zh-CN"/>
        </w:rPr>
        <w:t xml:space="preserve"> initial TP</w:t>
      </w:r>
      <w:r w:rsidR="0009570F">
        <w:rPr>
          <w:sz w:val="20"/>
          <w:szCs w:val="20"/>
          <w:lang w:val="en-GB" w:eastAsia="zh-CN"/>
        </w:rPr>
        <w:t>s in [4] and [5]</w:t>
      </w:r>
      <w:r>
        <w:rPr>
          <w:sz w:val="20"/>
          <w:szCs w:val="20"/>
          <w:lang w:val="en-GB" w:eastAsia="zh-CN"/>
        </w:rPr>
        <w:t xml:space="preserve"> for the solution, which involves TS 38.413 to enable the provision of the thresholds from CN to NG-RAN and TS 38.415 for report of the available data rate. It can be further updated according to the discussion and progress in RAN3 and SA2.</w:t>
      </w:r>
      <w:r w:rsidR="003F7843">
        <w:rPr>
          <w:sz w:val="20"/>
          <w:szCs w:val="20"/>
          <w:lang w:val="en-GB" w:eastAsia="zh-CN"/>
        </w:rPr>
        <w:t xml:space="preserve"> Furthermore, a draft reply LS to SA2 is provided in [3].</w:t>
      </w:r>
    </w:p>
    <w:p w14:paraId="087598CB" w14:textId="10371E53" w:rsidR="0009570F" w:rsidRPr="00126045" w:rsidRDefault="0009570F" w:rsidP="00C05F04">
      <w:pPr>
        <w:overflowPunct w:val="0"/>
        <w:snapToGrid/>
        <w:spacing w:beforeLines="50" w:before="120" w:afterLines="50"/>
        <w:textAlignment w:val="baseline"/>
        <w:rPr>
          <w:rFonts w:hint="eastAsia"/>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Pr>
          <w:b/>
          <w:i/>
          <w:sz w:val="20"/>
          <w:szCs w:val="20"/>
          <w:u w:val="single"/>
          <w:lang w:val="en-GB" w:eastAsia="zh-CN"/>
        </w:rPr>
        <w:t>4</w:t>
      </w:r>
      <w:r w:rsidRPr="00F0305D">
        <w:rPr>
          <w:b/>
          <w:sz w:val="20"/>
          <w:szCs w:val="20"/>
          <w:lang w:val="en-GB" w:eastAsia="zh-CN"/>
        </w:rPr>
        <w:t>:</w:t>
      </w:r>
      <w:r>
        <w:rPr>
          <w:b/>
          <w:sz w:val="20"/>
          <w:szCs w:val="20"/>
          <w:lang w:val="en-GB" w:eastAsia="zh-CN"/>
        </w:rPr>
        <w:t xml:space="preserve"> RAN3 to </w:t>
      </w:r>
      <w:r>
        <w:rPr>
          <w:b/>
          <w:sz w:val="20"/>
          <w:szCs w:val="20"/>
          <w:lang w:val="en-GB" w:eastAsia="zh-CN"/>
        </w:rPr>
        <w:t xml:space="preserve">agree the TPs in </w:t>
      </w:r>
      <w:r w:rsidRPr="0009570F">
        <w:rPr>
          <w:b/>
          <w:sz w:val="20"/>
          <w:szCs w:val="20"/>
          <w:lang w:val="en-GB" w:eastAsia="zh-CN"/>
        </w:rPr>
        <w:t>R3-250660</w:t>
      </w:r>
      <w:r>
        <w:rPr>
          <w:b/>
          <w:sz w:val="20"/>
          <w:szCs w:val="20"/>
          <w:lang w:val="en-GB" w:eastAsia="zh-CN"/>
        </w:rPr>
        <w:t xml:space="preserve"> and </w:t>
      </w:r>
      <w:r w:rsidRPr="0009570F">
        <w:rPr>
          <w:b/>
          <w:sz w:val="20"/>
          <w:szCs w:val="20"/>
          <w:lang w:val="en-GB" w:eastAsia="zh-CN"/>
        </w:rPr>
        <w:t>R3-2506</w:t>
      </w:r>
      <w:r>
        <w:rPr>
          <w:b/>
          <w:sz w:val="20"/>
          <w:szCs w:val="20"/>
          <w:lang w:val="en-GB" w:eastAsia="zh-CN"/>
        </w:rPr>
        <w:t>59</w:t>
      </w:r>
      <w:r w:rsidR="00302AD1" w:rsidRPr="00302AD1">
        <w:rPr>
          <w:b/>
          <w:sz w:val="20"/>
          <w:szCs w:val="20"/>
          <w:lang w:val="en-GB" w:eastAsia="zh-CN"/>
        </w:rPr>
        <w:t xml:space="preserve"> </w:t>
      </w:r>
      <w:r w:rsidR="00302AD1">
        <w:rPr>
          <w:b/>
          <w:sz w:val="20"/>
          <w:szCs w:val="20"/>
          <w:lang w:val="en-GB" w:eastAsia="zh-CN"/>
        </w:rPr>
        <w:t>for supporting the available date rate report</w:t>
      </w:r>
      <w:r>
        <w:rPr>
          <w:b/>
          <w:sz w:val="20"/>
          <w:szCs w:val="20"/>
          <w:lang w:val="en-GB" w:eastAsia="zh-CN"/>
        </w:rPr>
        <w:t xml:space="preserve">, and sent reply LS to SA2 by taking the content in </w:t>
      </w:r>
      <w:r w:rsidRPr="0009570F">
        <w:rPr>
          <w:b/>
          <w:sz w:val="20"/>
          <w:szCs w:val="20"/>
          <w:lang w:val="en-GB" w:eastAsia="zh-CN"/>
        </w:rPr>
        <w:t>R3-250295</w:t>
      </w:r>
      <w:r w:rsidRPr="0009570F">
        <w:rPr>
          <w:b/>
          <w:sz w:val="20"/>
          <w:szCs w:val="20"/>
          <w:lang w:val="en-GB" w:eastAsia="zh-CN"/>
        </w:rPr>
        <w:t xml:space="preserve"> as baseline.</w:t>
      </w:r>
    </w:p>
    <w:p w14:paraId="43732CEA" w14:textId="5E50ACD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lastRenderedPageBreak/>
        <w:t>3</w:t>
      </w:r>
      <w:r w:rsidRPr="0032543F">
        <w:rPr>
          <w:rFonts w:ascii="Arial" w:hAnsi="Arial"/>
          <w:sz w:val="36"/>
          <w:szCs w:val="20"/>
          <w:lang w:val="en-GB" w:eastAsia="zh-CN"/>
        </w:rPr>
        <w:t>. Conclusion</w:t>
      </w:r>
    </w:p>
    <w:p w14:paraId="348EE187" w14:textId="2D9E1C6D" w:rsidR="0032543F" w:rsidRP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547F7B">
        <w:rPr>
          <w:sz w:val="20"/>
          <w:szCs w:val="20"/>
          <w:lang w:eastAsia="zh-CN"/>
        </w:rPr>
        <w:t xml:space="preserve">latest SA2’s </w:t>
      </w:r>
      <w:r w:rsidR="00CC3263">
        <w:rPr>
          <w:sz w:val="20"/>
          <w:szCs w:val="20"/>
          <w:lang w:eastAsia="zh-CN"/>
        </w:rPr>
        <w:t xml:space="preserve">LS on </w:t>
      </w:r>
      <w:r w:rsidR="00CD37C6">
        <w:rPr>
          <w:sz w:val="20"/>
          <w:szCs w:val="20"/>
          <w:lang w:eastAsia="zh-CN"/>
        </w:rPr>
        <w:t>available data rate report</w:t>
      </w:r>
      <w:r w:rsidR="00547F7B">
        <w:rPr>
          <w:sz w:val="20"/>
          <w:szCs w:val="20"/>
          <w:lang w:eastAsia="zh-CN"/>
        </w:rPr>
        <w:t>, and provide the following proposals</w:t>
      </w:r>
      <w:r w:rsidRPr="0032543F">
        <w:rPr>
          <w:sz w:val="20"/>
          <w:szCs w:val="20"/>
          <w:lang w:eastAsia="zh-CN"/>
        </w:rPr>
        <w:t>:</w:t>
      </w:r>
    </w:p>
    <w:p w14:paraId="3DDAE196" w14:textId="77777777" w:rsidR="00FE71B1" w:rsidRDefault="00FE71B1" w:rsidP="00FE71B1">
      <w:pPr>
        <w:overflowPunct w:val="0"/>
        <w:snapToGrid/>
        <w:spacing w:beforeLines="50" w:before="120" w:afterLines="50"/>
        <w:textAlignment w:val="baseline"/>
        <w:rPr>
          <w:b/>
          <w:sz w:val="20"/>
          <w:szCs w:val="20"/>
          <w:lang w:val="en-GB" w:eastAsia="zh-CN"/>
        </w:rPr>
      </w:pPr>
      <w:r w:rsidRPr="00A371B2">
        <w:rPr>
          <w:b/>
          <w:i/>
          <w:sz w:val="20"/>
          <w:szCs w:val="20"/>
          <w:u w:val="single"/>
          <w:lang w:val="en-GB" w:eastAsia="zh-CN"/>
        </w:rPr>
        <w:t xml:space="preserve">Proposal </w:t>
      </w:r>
      <w:r>
        <w:rPr>
          <w:b/>
          <w:i/>
          <w:sz w:val="20"/>
          <w:szCs w:val="20"/>
          <w:u w:val="single"/>
          <w:lang w:val="en-GB" w:eastAsia="zh-CN"/>
        </w:rPr>
        <w:t>1</w:t>
      </w:r>
      <w:r w:rsidRPr="00A371B2">
        <w:rPr>
          <w:b/>
          <w:sz w:val="20"/>
          <w:szCs w:val="20"/>
          <w:lang w:val="en-GB" w:eastAsia="zh-CN"/>
        </w:rPr>
        <w:t>: CN provides one or more thresholds to NG-RAN</w:t>
      </w:r>
      <w:r>
        <w:rPr>
          <w:b/>
          <w:sz w:val="20"/>
          <w:szCs w:val="20"/>
          <w:lang w:val="en-GB" w:eastAsia="zh-CN"/>
        </w:rPr>
        <w:t xml:space="preserve"> via CP</w:t>
      </w:r>
      <w:r w:rsidRPr="00A371B2">
        <w:rPr>
          <w:b/>
          <w:sz w:val="20"/>
          <w:szCs w:val="20"/>
          <w:lang w:val="en-GB" w:eastAsia="zh-CN"/>
        </w:rPr>
        <w:t>. NG-RAN indicates the available data rate based on the</w:t>
      </w:r>
      <w:r>
        <w:rPr>
          <w:b/>
          <w:sz w:val="20"/>
          <w:szCs w:val="20"/>
          <w:lang w:val="en-GB" w:eastAsia="zh-CN"/>
        </w:rPr>
        <w:t>se configured</w:t>
      </w:r>
      <w:r w:rsidRPr="00A371B2">
        <w:rPr>
          <w:b/>
          <w:sz w:val="20"/>
          <w:szCs w:val="20"/>
          <w:lang w:val="en-GB" w:eastAsia="zh-CN"/>
        </w:rPr>
        <w:t xml:space="preserve"> thresholds</w:t>
      </w:r>
      <w:r>
        <w:rPr>
          <w:b/>
          <w:sz w:val="20"/>
          <w:szCs w:val="20"/>
          <w:lang w:val="en-GB" w:eastAsia="zh-CN"/>
        </w:rPr>
        <w:t xml:space="preserve"> via UP</w:t>
      </w:r>
      <w:r w:rsidRPr="00A371B2">
        <w:rPr>
          <w:b/>
          <w:sz w:val="20"/>
          <w:szCs w:val="20"/>
          <w:lang w:val="en-GB" w:eastAsia="zh-CN"/>
        </w:rPr>
        <w:t>.</w:t>
      </w:r>
    </w:p>
    <w:p w14:paraId="21C0458D" w14:textId="7B8A8292" w:rsidR="000863D6" w:rsidRPr="00760374" w:rsidRDefault="000863D6" w:rsidP="000863D6">
      <w:pPr>
        <w:overflowPunct w:val="0"/>
        <w:snapToGrid/>
        <w:spacing w:beforeLines="50" w:before="120" w:afterLines="50"/>
        <w:textAlignment w:val="baseline"/>
        <w:rPr>
          <w:b/>
          <w:sz w:val="20"/>
          <w:szCs w:val="20"/>
          <w:lang w:val="en-GB" w:eastAsia="zh-CN"/>
        </w:rPr>
      </w:pPr>
      <w:r w:rsidRPr="00760374">
        <w:rPr>
          <w:b/>
          <w:i/>
          <w:sz w:val="20"/>
          <w:szCs w:val="20"/>
          <w:u w:val="single"/>
          <w:lang w:val="en-GB" w:eastAsia="zh-CN"/>
        </w:rPr>
        <w:t xml:space="preserve">Proposal </w:t>
      </w:r>
      <w:r w:rsidR="002F23FE">
        <w:rPr>
          <w:b/>
          <w:i/>
          <w:sz w:val="20"/>
          <w:szCs w:val="20"/>
          <w:u w:val="single"/>
          <w:lang w:val="en-GB" w:eastAsia="zh-CN"/>
        </w:rPr>
        <w:t>2</w:t>
      </w:r>
      <w:r w:rsidRPr="00760374">
        <w:rPr>
          <w:b/>
          <w:sz w:val="20"/>
          <w:szCs w:val="20"/>
          <w:lang w:val="en-GB" w:eastAsia="zh-CN"/>
        </w:rPr>
        <w:t>: MFBR and GFBR</w:t>
      </w:r>
      <w:r w:rsidR="00357310">
        <w:rPr>
          <w:b/>
          <w:sz w:val="20"/>
          <w:szCs w:val="20"/>
          <w:lang w:val="en-GB" w:eastAsia="zh-CN"/>
        </w:rPr>
        <w:t xml:space="preserve"> can be considered</w:t>
      </w:r>
      <w:r w:rsidRPr="00760374">
        <w:rPr>
          <w:b/>
          <w:sz w:val="20"/>
          <w:szCs w:val="20"/>
          <w:lang w:val="en-GB" w:eastAsia="zh-CN"/>
        </w:rPr>
        <w:t xml:space="preserve"> when setting the value</w:t>
      </w:r>
      <w:r w:rsidR="00460F6C">
        <w:rPr>
          <w:b/>
          <w:sz w:val="20"/>
          <w:szCs w:val="20"/>
          <w:lang w:val="en-GB" w:eastAsia="zh-CN"/>
        </w:rPr>
        <w:t>s</w:t>
      </w:r>
      <w:r w:rsidRPr="00760374">
        <w:rPr>
          <w:b/>
          <w:sz w:val="20"/>
          <w:szCs w:val="20"/>
          <w:lang w:val="en-GB" w:eastAsia="zh-CN"/>
        </w:rPr>
        <w:t xml:space="preserve"> of the thresholds.</w:t>
      </w:r>
    </w:p>
    <w:p w14:paraId="6C8B61C6" w14:textId="7C123202" w:rsidR="000863D6" w:rsidRDefault="000863D6" w:rsidP="000863D6">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sidR="002F23FE">
        <w:rPr>
          <w:b/>
          <w:i/>
          <w:sz w:val="20"/>
          <w:szCs w:val="20"/>
          <w:u w:val="single"/>
          <w:lang w:val="en-GB" w:eastAsia="zh-CN"/>
        </w:rPr>
        <w:t>3</w:t>
      </w:r>
      <w:r w:rsidRPr="00F0305D">
        <w:rPr>
          <w:b/>
          <w:sz w:val="20"/>
          <w:szCs w:val="20"/>
          <w:lang w:val="en-GB" w:eastAsia="zh-CN"/>
        </w:rPr>
        <w:t>:</w:t>
      </w:r>
      <w:r>
        <w:rPr>
          <w:b/>
          <w:sz w:val="20"/>
          <w:szCs w:val="20"/>
          <w:lang w:val="en-GB" w:eastAsia="zh-CN"/>
        </w:rPr>
        <w:t xml:space="preserve"> </w:t>
      </w:r>
      <w:r w:rsidR="00AB7165">
        <w:rPr>
          <w:b/>
          <w:sz w:val="20"/>
          <w:szCs w:val="20"/>
          <w:lang w:val="en-GB" w:eastAsia="zh-CN"/>
        </w:rPr>
        <w:t>RAN3</w:t>
      </w:r>
      <w:r w:rsidR="00B96692">
        <w:rPr>
          <w:b/>
          <w:sz w:val="20"/>
          <w:szCs w:val="20"/>
          <w:lang w:val="en-GB" w:eastAsia="zh-CN"/>
        </w:rPr>
        <w:t xml:space="preserve"> to ask SA2 to capture in their</w:t>
      </w:r>
      <w:r w:rsidR="00AB7165">
        <w:rPr>
          <w:b/>
          <w:sz w:val="20"/>
          <w:szCs w:val="20"/>
          <w:lang w:val="en-GB" w:eastAsia="zh-CN"/>
        </w:rPr>
        <w:t xml:space="preserve"> specification</w:t>
      </w:r>
      <w:r>
        <w:rPr>
          <w:b/>
          <w:sz w:val="20"/>
          <w:szCs w:val="20"/>
          <w:lang w:val="en-GB" w:eastAsia="zh-CN"/>
        </w:rPr>
        <w:t xml:space="preserve"> that NG-RAN should </w:t>
      </w:r>
      <w:r w:rsidRPr="00DA1A9D">
        <w:rPr>
          <w:b/>
          <w:sz w:val="20"/>
          <w:szCs w:val="20"/>
          <w:lang w:val="en-GB" w:eastAsia="zh-CN"/>
        </w:rPr>
        <w:t>immediately report a change to a lower threshold for the “available data rate” and a change to a higher threshold value with some hysteresis.</w:t>
      </w:r>
    </w:p>
    <w:p w14:paraId="61157B33" w14:textId="7C908748" w:rsidR="0009570F" w:rsidRPr="0009570F" w:rsidRDefault="0009570F" w:rsidP="000863D6">
      <w:pPr>
        <w:overflowPunct w:val="0"/>
        <w:snapToGrid/>
        <w:spacing w:beforeLines="50" w:before="120" w:afterLines="50"/>
        <w:textAlignment w:val="baseline"/>
        <w:rPr>
          <w:rFonts w:hint="eastAsia"/>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Pr>
          <w:b/>
          <w:i/>
          <w:sz w:val="20"/>
          <w:szCs w:val="20"/>
          <w:u w:val="single"/>
          <w:lang w:val="en-GB" w:eastAsia="zh-CN"/>
        </w:rPr>
        <w:t>4</w:t>
      </w:r>
      <w:r w:rsidRPr="00F0305D">
        <w:rPr>
          <w:b/>
          <w:sz w:val="20"/>
          <w:szCs w:val="20"/>
          <w:lang w:val="en-GB" w:eastAsia="zh-CN"/>
        </w:rPr>
        <w:t>:</w:t>
      </w:r>
      <w:r>
        <w:rPr>
          <w:b/>
          <w:sz w:val="20"/>
          <w:szCs w:val="20"/>
          <w:lang w:val="en-GB" w:eastAsia="zh-CN"/>
        </w:rPr>
        <w:t xml:space="preserve"> RAN3 to agree the TPs in </w:t>
      </w:r>
      <w:r w:rsidRPr="0009570F">
        <w:rPr>
          <w:b/>
          <w:sz w:val="20"/>
          <w:szCs w:val="20"/>
          <w:lang w:val="en-GB" w:eastAsia="zh-CN"/>
        </w:rPr>
        <w:t>R3-250660</w:t>
      </w:r>
      <w:r>
        <w:rPr>
          <w:b/>
          <w:sz w:val="20"/>
          <w:szCs w:val="20"/>
          <w:lang w:val="en-GB" w:eastAsia="zh-CN"/>
        </w:rPr>
        <w:t xml:space="preserve"> and </w:t>
      </w:r>
      <w:r w:rsidRPr="0009570F">
        <w:rPr>
          <w:b/>
          <w:sz w:val="20"/>
          <w:szCs w:val="20"/>
          <w:lang w:val="en-GB" w:eastAsia="zh-CN"/>
        </w:rPr>
        <w:t>R3-2506</w:t>
      </w:r>
      <w:r>
        <w:rPr>
          <w:b/>
          <w:sz w:val="20"/>
          <w:szCs w:val="20"/>
          <w:lang w:val="en-GB" w:eastAsia="zh-CN"/>
        </w:rPr>
        <w:t>59</w:t>
      </w:r>
      <w:r w:rsidR="00A078F8">
        <w:rPr>
          <w:b/>
          <w:sz w:val="20"/>
          <w:szCs w:val="20"/>
          <w:lang w:val="en-GB" w:eastAsia="zh-CN"/>
        </w:rPr>
        <w:t xml:space="preserve"> for support</w:t>
      </w:r>
      <w:r w:rsidR="00302AD1">
        <w:rPr>
          <w:b/>
          <w:sz w:val="20"/>
          <w:szCs w:val="20"/>
          <w:lang w:val="en-GB" w:eastAsia="zh-CN"/>
        </w:rPr>
        <w:t>ing</w:t>
      </w:r>
      <w:r w:rsidR="00A078F8">
        <w:rPr>
          <w:b/>
          <w:sz w:val="20"/>
          <w:szCs w:val="20"/>
          <w:lang w:val="en-GB" w:eastAsia="zh-CN"/>
        </w:rPr>
        <w:t xml:space="preserve"> the available date rate report</w:t>
      </w:r>
      <w:r>
        <w:rPr>
          <w:b/>
          <w:sz w:val="20"/>
          <w:szCs w:val="20"/>
          <w:lang w:val="en-GB" w:eastAsia="zh-CN"/>
        </w:rPr>
        <w:t xml:space="preserve">, and sent reply LS to SA2 by taking the content in </w:t>
      </w:r>
      <w:r w:rsidRPr="0009570F">
        <w:rPr>
          <w:b/>
          <w:sz w:val="20"/>
          <w:szCs w:val="20"/>
          <w:lang w:val="en-GB" w:eastAsia="zh-CN"/>
        </w:rPr>
        <w:t>R3-250295 as baseline.</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7DEF0DC0" w14:textId="3D6554EF" w:rsidR="007F4E16" w:rsidRDefault="0032543F" w:rsidP="00C05F04">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C42C2B" w:rsidRPr="00C42C2B">
        <w:rPr>
          <w:color w:val="000000"/>
          <w:sz w:val="20"/>
          <w:szCs w:val="20"/>
          <w:lang w:val="en-GB" w:eastAsia="zh-CN"/>
        </w:rPr>
        <w:t>S2-2412720</w:t>
      </w:r>
      <w:r w:rsidR="003C1504">
        <w:rPr>
          <w:color w:val="000000"/>
          <w:sz w:val="20"/>
          <w:szCs w:val="20"/>
          <w:lang w:val="en-GB" w:eastAsia="zh-CN"/>
        </w:rPr>
        <w:t xml:space="preserve">, </w:t>
      </w:r>
      <w:r w:rsidR="00A357CE">
        <w:rPr>
          <w:color w:val="000000"/>
          <w:sz w:val="20"/>
          <w:szCs w:val="20"/>
          <w:lang w:val="en-GB" w:eastAsia="zh-CN"/>
        </w:rPr>
        <w:t xml:space="preserve">TSG </w:t>
      </w:r>
      <w:r w:rsidR="00C42C2B">
        <w:rPr>
          <w:color w:val="000000"/>
          <w:sz w:val="20"/>
          <w:szCs w:val="20"/>
          <w:lang w:val="en-GB" w:eastAsia="zh-CN"/>
        </w:rPr>
        <w:t>SA</w:t>
      </w:r>
      <w:r w:rsidR="00A357CE">
        <w:rPr>
          <w:color w:val="000000"/>
          <w:sz w:val="20"/>
          <w:szCs w:val="20"/>
          <w:lang w:val="en-GB" w:eastAsia="zh-CN"/>
        </w:rPr>
        <w:t xml:space="preserve"> WG2</w:t>
      </w:r>
      <w:r w:rsidR="00D533C2">
        <w:rPr>
          <w:color w:val="000000"/>
          <w:sz w:val="20"/>
          <w:szCs w:val="20"/>
          <w:lang w:val="en-GB" w:eastAsia="zh-CN"/>
        </w:rPr>
        <w:t xml:space="preserve">, </w:t>
      </w:r>
      <w:r w:rsidR="00C42C2B" w:rsidRPr="00C42C2B">
        <w:rPr>
          <w:color w:val="000000"/>
          <w:sz w:val="20"/>
          <w:szCs w:val="20"/>
          <w:lang w:val="en-GB" w:eastAsia="zh-CN"/>
        </w:rPr>
        <w:t>LS Reply on FS_XRM Ph2</w:t>
      </w:r>
      <w:r w:rsidR="00D533C2">
        <w:rPr>
          <w:color w:val="000000"/>
          <w:sz w:val="20"/>
          <w:szCs w:val="20"/>
          <w:lang w:val="en-GB" w:eastAsia="zh-CN"/>
        </w:rPr>
        <w:t>.</w:t>
      </w:r>
      <w:bookmarkEnd w:id="1"/>
    </w:p>
    <w:p w14:paraId="737836D4" w14:textId="0405484B" w:rsidR="00C42C2B" w:rsidRDefault="00C42C2B"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 xml:space="preserve">[2]. </w:t>
      </w:r>
      <w:r w:rsidRPr="00C42C2B">
        <w:rPr>
          <w:color w:val="000000"/>
          <w:sz w:val="20"/>
          <w:szCs w:val="20"/>
          <w:lang w:val="en-GB" w:eastAsia="zh-CN"/>
        </w:rPr>
        <w:t>R3-244844</w:t>
      </w:r>
      <w:r>
        <w:rPr>
          <w:color w:val="000000"/>
          <w:sz w:val="20"/>
          <w:szCs w:val="20"/>
          <w:lang w:val="en-GB" w:eastAsia="zh-CN"/>
        </w:rPr>
        <w:t xml:space="preserve">, TSG RAN WG3, </w:t>
      </w:r>
      <w:r w:rsidRPr="00C42C2B">
        <w:rPr>
          <w:color w:val="000000"/>
          <w:sz w:val="20"/>
          <w:szCs w:val="20"/>
          <w:lang w:val="en-GB" w:eastAsia="zh-CN"/>
        </w:rPr>
        <w:t>Response LS to SA2 on FS_XRM Ph2</w:t>
      </w:r>
      <w:r>
        <w:rPr>
          <w:color w:val="000000"/>
          <w:sz w:val="20"/>
          <w:szCs w:val="20"/>
          <w:lang w:val="en-GB" w:eastAsia="zh-CN"/>
        </w:rPr>
        <w:t>.</w:t>
      </w:r>
    </w:p>
    <w:p w14:paraId="59B326A8" w14:textId="78FA5610" w:rsidR="003F7843" w:rsidRDefault="003F7843" w:rsidP="00C05F04">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3]. R3-250295, [draft] Reply LS on FS</w:t>
      </w:r>
      <w:r>
        <w:rPr>
          <w:rFonts w:hint="eastAsia"/>
          <w:color w:val="000000"/>
          <w:sz w:val="20"/>
          <w:szCs w:val="20"/>
          <w:lang w:val="en-GB" w:eastAsia="zh-CN"/>
        </w:rPr>
        <w:t>_</w:t>
      </w:r>
      <w:r>
        <w:rPr>
          <w:color w:val="000000"/>
          <w:sz w:val="20"/>
          <w:szCs w:val="20"/>
          <w:lang w:val="en-GB" w:eastAsia="zh-CN"/>
        </w:rPr>
        <w:t xml:space="preserve">XRM Ph2 for available data rate report, Huawei. </w:t>
      </w:r>
    </w:p>
    <w:p w14:paraId="36C4976E" w14:textId="77F1AC4F" w:rsidR="0009570F" w:rsidRDefault="0009570F" w:rsidP="00C05F04">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4]. R3-250660, </w:t>
      </w:r>
      <w:r w:rsidRPr="0009570F">
        <w:rPr>
          <w:color w:val="000000"/>
          <w:sz w:val="20"/>
          <w:szCs w:val="20"/>
          <w:lang w:val="en-GB" w:eastAsia="zh-CN"/>
        </w:rPr>
        <w:t>(TP for TS 38.413) XR available data rate report</w:t>
      </w:r>
      <w:r>
        <w:rPr>
          <w:color w:val="000000"/>
          <w:sz w:val="20"/>
          <w:szCs w:val="20"/>
          <w:lang w:val="en-GB" w:eastAsia="zh-CN"/>
        </w:rPr>
        <w:t>, Huawei.</w:t>
      </w:r>
    </w:p>
    <w:p w14:paraId="0B8ED436" w14:textId="5121E56A" w:rsidR="0033766F" w:rsidRPr="00D10755" w:rsidRDefault="0009570F" w:rsidP="001B6D9E">
      <w:pPr>
        <w:overflowPunct w:val="0"/>
        <w:snapToGrid/>
        <w:spacing w:beforeLines="50" w:before="120" w:afterLines="50"/>
        <w:textAlignment w:val="baseline"/>
        <w:rPr>
          <w:rFonts w:hint="eastAsia"/>
          <w:b/>
          <w:lang w:val="en-GB" w:eastAsia="zh-CN"/>
        </w:rPr>
      </w:pPr>
      <w:r>
        <w:rPr>
          <w:rFonts w:hint="eastAsia"/>
          <w:color w:val="000000"/>
          <w:sz w:val="20"/>
          <w:szCs w:val="20"/>
          <w:lang w:val="en-GB" w:eastAsia="zh-CN"/>
        </w:rPr>
        <w:t>[</w:t>
      </w:r>
      <w:r>
        <w:rPr>
          <w:color w:val="000000"/>
          <w:sz w:val="20"/>
          <w:szCs w:val="20"/>
          <w:lang w:val="en-GB" w:eastAsia="zh-CN"/>
        </w:rPr>
        <w:t xml:space="preserve">5]. R3-250659, </w:t>
      </w:r>
      <w:r w:rsidRPr="0009570F">
        <w:rPr>
          <w:color w:val="000000"/>
          <w:sz w:val="20"/>
          <w:szCs w:val="20"/>
          <w:lang w:val="en-GB" w:eastAsia="zh-CN"/>
        </w:rPr>
        <w:t>(TP for TS 38.415) XR available data rate report</w:t>
      </w:r>
      <w:r>
        <w:rPr>
          <w:color w:val="000000"/>
          <w:sz w:val="20"/>
          <w:szCs w:val="20"/>
          <w:lang w:val="en-GB" w:eastAsia="zh-CN"/>
        </w:rPr>
        <w:t>, Huawei</w:t>
      </w:r>
      <w:bookmarkStart w:id="15" w:name="_GoBack"/>
      <w:bookmarkEnd w:id="15"/>
    </w:p>
    <w:sectPr w:rsidR="0033766F" w:rsidRPr="00D10755"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73116" w14:textId="77777777" w:rsidR="00C45679" w:rsidRDefault="00C45679">
      <w:r>
        <w:separator/>
      </w:r>
    </w:p>
  </w:endnote>
  <w:endnote w:type="continuationSeparator" w:id="0">
    <w:p w14:paraId="0BBF8F25" w14:textId="77777777" w:rsidR="00C45679" w:rsidRDefault="00C4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858A0" w14:textId="77777777" w:rsidR="00C45679" w:rsidRDefault="00C45679">
      <w:r>
        <w:separator/>
      </w:r>
    </w:p>
  </w:footnote>
  <w:footnote w:type="continuationSeparator" w:id="0">
    <w:p w14:paraId="5466BEEF" w14:textId="77777777" w:rsidR="00C45679" w:rsidRDefault="00C45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81F82"/>
    <w:multiLevelType w:val="hybridMultilevel"/>
    <w:tmpl w:val="6A7C7ECE"/>
    <w:lvl w:ilvl="0" w:tplc="613A7E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404788"/>
    <w:multiLevelType w:val="hybridMultilevel"/>
    <w:tmpl w:val="DAA224BA"/>
    <w:lvl w:ilvl="0" w:tplc="78C0C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0"/>
  </w:num>
  <w:num w:numId="4">
    <w:abstractNumId w:val="28"/>
  </w:num>
  <w:num w:numId="5">
    <w:abstractNumId w:val="7"/>
  </w:num>
  <w:num w:numId="6">
    <w:abstractNumId w:val="3"/>
  </w:num>
  <w:num w:numId="7">
    <w:abstractNumId w:val="0"/>
  </w:num>
  <w:num w:numId="8">
    <w:abstractNumId w:val="12"/>
  </w:num>
  <w:num w:numId="9">
    <w:abstractNumId w:val="14"/>
  </w:num>
  <w:num w:numId="10">
    <w:abstractNumId w:val="10"/>
  </w:num>
  <w:num w:numId="11">
    <w:abstractNumId w:val="13"/>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9"/>
  </w:num>
  <w:num w:numId="20">
    <w:abstractNumId w:val="23"/>
  </w:num>
  <w:num w:numId="21">
    <w:abstractNumId w:val="22"/>
  </w:num>
  <w:num w:numId="22">
    <w:abstractNumId w:val="27"/>
  </w:num>
  <w:num w:numId="23">
    <w:abstractNumId w:val="4"/>
  </w:num>
  <w:num w:numId="24">
    <w:abstractNumId w:val="24"/>
  </w:num>
  <w:num w:numId="25">
    <w:abstractNumId w:val="16"/>
  </w:num>
  <w:num w:numId="26">
    <w:abstractNumId w:val="25"/>
  </w:num>
  <w:num w:numId="27">
    <w:abstractNumId w:val="15"/>
  </w:num>
  <w:num w:numId="28">
    <w:abstractNumId w:val="5"/>
  </w:num>
  <w:num w:numId="29">
    <w:abstractNumId w:val="17"/>
  </w:num>
  <w:num w:numId="30">
    <w:abstractNumId w:val="18"/>
  </w:num>
  <w:num w:numId="31">
    <w:abstractNumId w:val="21"/>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2F94"/>
    <w:rsid w:val="00033475"/>
    <w:rsid w:val="0003376B"/>
    <w:rsid w:val="00034181"/>
    <w:rsid w:val="00034336"/>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AD5"/>
    <w:rsid w:val="00043DC2"/>
    <w:rsid w:val="00043E3E"/>
    <w:rsid w:val="00044192"/>
    <w:rsid w:val="00044EA0"/>
    <w:rsid w:val="00045049"/>
    <w:rsid w:val="00045186"/>
    <w:rsid w:val="0004573C"/>
    <w:rsid w:val="00045855"/>
    <w:rsid w:val="00046796"/>
    <w:rsid w:val="000467FD"/>
    <w:rsid w:val="00046AAF"/>
    <w:rsid w:val="00047225"/>
    <w:rsid w:val="00047B16"/>
    <w:rsid w:val="00047E60"/>
    <w:rsid w:val="00050549"/>
    <w:rsid w:val="00050977"/>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9F2"/>
    <w:rsid w:val="00055AC6"/>
    <w:rsid w:val="00055BDD"/>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028"/>
    <w:rsid w:val="000847D7"/>
    <w:rsid w:val="000848C1"/>
    <w:rsid w:val="000855DF"/>
    <w:rsid w:val="00085E04"/>
    <w:rsid w:val="000863D6"/>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4FE8"/>
    <w:rsid w:val="000954C2"/>
    <w:rsid w:val="0009570F"/>
    <w:rsid w:val="00096013"/>
    <w:rsid w:val="00096180"/>
    <w:rsid w:val="00096356"/>
    <w:rsid w:val="00097C99"/>
    <w:rsid w:val="000A0F14"/>
    <w:rsid w:val="000A115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ACD"/>
    <w:rsid w:val="000A6BC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3F1"/>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1F0"/>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045"/>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067"/>
    <w:rsid w:val="0013633B"/>
    <w:rsid w:val="001367C9"/>
    <w:rsid w:val="00136A23"/>
    <w:rsid w:val="00136B99"/>
    <w:rsid w:val="001370BE"/>
    <w:rsid w:val="0014063E"/>
    <w:rsid w:val="0014087D"/>
    <w:rsid w:val="001408FA"/>
    <w:rsid w:val="00140F74"/>
    <w:rsid w:val="00141191"/>
    <w:rsid w:val="001411D8"/>
    <w:rsid w:val="0014159C"/>
    <w:rsid w:val="001417AF"/>
    <w:rsid w:val="00141E02"/>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994"/>
    <w:rsid w:val="001A1BAC"/>
    <w:rsid w:val="001A23CE"/>
    <w:rsid w:val="001A2C89"/>
    <w:rsid w:val="001A307A"/>
    <w:rsid w:val="001A3CA5"/>
    <w:rsid w:val="001A42BF"/>
    <w:rsid w:val="001A4DE9"/>
    <w:rsid w:val="001A52DF"/>
    <w:rsid w:val="001A565D"/>
    <w:rsid w:val="001A5E86"/>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6D9E"/>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635"/>
    <w:rsid w:val="001C6727"/>
    <w:rsid w:val="001C69DA"/>
    <w:rsid w:val="001C6F06"/>
    <w:rsid w:val="001C780E"/>
    <w:rsid w:val="001D144F"/>
    <w:rsid w:val="001D2235"/>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021"/>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07F83"/>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6E5"/>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32B"/>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53A"/>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2C17"/>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0973"/>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C94"/>
    <w:rsid w:val="002C7DE8"/>
    <w:rsid w:val="002D0439"/>
    <w:rsid w:val="002D0734"/>
    <w:rsid w:val="002D0C0F"/>
    <w:rsid w:val="002D11B7"/>
    <w:rsid w:val="002D1EA5"/>
    <w:rsid w:val="002D239A"/>
    <w:rsid w:val="002D2A40"/>
    <w:rsid w:val="002D2DCA"/>
    <w:rsid w:val="002D36CC"/>
    <w:rsid w:val="002D3BBC"/>
    <w:rsid w:val="002D3ECF"/>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3FE"/>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15B"/>
    <w:rsid w:val="0030223F"/>
    <w:rsid w:val="003027E8"/>
    <w:rsid w:val="0030296F"/>
    <w:rsid w:val="00302AD1"/>
    <w:rsid w:val="00302CF6"/>
    <w:rsid w:val="00303440"/>
    <w:rsid w:val="003038B1"/>
    <w:rsid w:val="00303C0F"/>
    <w:rsid w:val="003041C7"/>
    <w:rsid w:val="00304D9B"/>
    <w:rsid w:val="00305469"/>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27B81"/>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66F"/>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475D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3BE7"/>
    <w:rsid w:val="003548D8"/>
    <w:rsid w:val="00354E67"/>
    <w:rsid w:val="003554CA"/>
    <w:rsid w:val="003560D4"/>
    <w:rsid w:val="003568B1"/>
    <w:rsid w:val="003571BD"/>
    <w:rsid w:val="00357310"/>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21C"/>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35"/>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C04"/>
    <w:rsid w:val="00390DF9"/>
    <w:rsid w:val="00390F03"/>
    <w:rsid w:val="00390F1A"/>
    <w:rsid w:val="00391206"/>
    <w:rsid w:val="00392DE3"/>
    <w:rsid w:val="003932B0"/>
    <w:rsid w:val="00393F37"/>
    <w:rsid w:val="003940CE"/>
    <w:rsid w:val="00396BEC"/>
    <w:rsid w:val="0039720D"/>
    <w:rsid w:val="003975B3"/>
    <w:rsid w:val="00397C1D"/>
    <w:rsid w:val="003A06E3"/>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484"/>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43"/>
    <w:rsid w:val="003F788D"/>
    <w:rsid w:val="0040126E"/>
    <w:rsid w:val="0040156C"/>
    <w:rsid w:val="004020D4"/>
    <w:rsid w:val="004021B6"/>
    <w:rsid w:val="00402BD3"/>
    <w:rsid w:val="00402C32"/>
    <w:rsid w:val="0040383B"/>
    <w:rsid w:val="00404239"/>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4D0"/>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300"/>
    <w:rsid w:val="0045466C"/>
    <w:rsid w:val="00454D98"/>
    <w:rsid w:val="00455113"/>
    <w:rsid w:val="0045515E"/>
    <w:rsid w:val="0045526D"/>
    <w:rsid w:val="00455B36"/>
    <w:rsid w:val="00456421"/>
    <w:rsid w:val="00456DAB"/>
    <w:rsid w:val="004608E3"/>
    <w:rsid w:val="00460CC3"/>
    <w:rsid w:val="00460E86"/>
    <w:rsid w:val="00460F6C"/>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738"/>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595"/>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405"/>
    <w:rsid w:val="004E4D4C"/>
    <w:rsid w:val="004E505A"/>
    <w:rsid w:val="004E53C1"/>
    <w:rsid w:val="004E5C98"/>
    <w:rsid w:val="004E68DD"/>
    <w:rsid w:val="004E720D"/>
    <w:rsid w:val="004E7B4B"/>
    <w:rsid w:val="004E7C59"/>
    <w:rsid w:val="004F0A50"/>
    <w:rsid w:val="004F0FB9"/>
    <w:rsid w:val="004F1EDE"/>
    <w:rsid w:val="004F2598"/>
    <w:rsid w:val="004F28EE"/>
    <w:rsid w:val="004F2F7E"/>
    <w:rsid w:val="004F32B5"/>
    <w:rsid w:val="004F407E"/>
    <w:rsid w:val="004F46FC"/>
    <w:rsid w:val="004F5479"/>
    <w:rsid w:val="004F5876"/>
    <w:rsid w:val="004F6712"/>
    <w:rsid w:val="004F7528"/>
    <w:rsid w:val="004F776A"/>
    <w:rsid w:val="004F7BCA"/>
    <w:rsid w:val="004F7D89"/>
    <w:rsid w:val="00500066"/>
    <w:rsid w:val="005000F6"/>
    <w:rsid w:val="005005A2"/>
    <w:rsid w:val="00500BD2"/>
    <w:rsid w:val="00500E48"/>
    <w:rsid w:val="00501981"/>
    <w:rsid w:val="00501A85"/>
    <w:rsid w:val="00501A87"/>
    <w:rsid w:val="00501BB3"/>
    <w:rsid w:val="00501F8D"/>
    <w:rsid w:val="005021DD"/>
    <w:rsid w:val="00502381"/>
    <w:rsid w:val="005026CA"/>
    <w:rsid w:val="005029F8"/>
    <w:rsid w:val="00502B72"/>
    <w:rsid w:val="00503186"/>
    <w:rsid w:val="00503B45"/>
    <w:rsid w:val="00503C07"/>
    <w:rsid w:val="00504B60"/>
    <w:rsid w:val="00504BC1"/>
    <w:rsid w:val="00505134"/>
    <w:rsid w:val="005055CA"/>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0F3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449"/>
    <w:rsid w:val="0054075D"/>
    <w:rsid w:val="0054264A"/>
    <w:rsid w:val="0054343A"/>
    <w:rsid w:val="00543974"/>
    <w:rsid w:val="00543EBF"/>
    <w:rsid w:val="0054473C"/>
    <w:rsid w:val="00544ABA"/>
    <w:rsid w:val="0054593A"/>
    <w:rsid w:val="00545C58"/>
    <w:rsid w:val="00545F0D"/>
    <w:rsid w:val="005467FB"/>
    <w:rsid w:val="00546AE9"/>
    <w:rsid w:val="00547989"/>
    <w:rsid w:val="00547F7B"/>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34A"/>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1AD7"/>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162"/>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10"/>
    <w:rsid w:val="005B1376"/>
    <w:rsid w:val="005B1904"/>
    <w:rsid w:val="005B1C31"/>
    <w:rsid w:val="005B1DA4"/>
    <w:rsid w:val="005B2225"/>
    <w:rsid w:val="005B2799"/>
    <w:rsid w:val="005B2A54"/>
    <w:rsid w:val="005B2B77"/>
    <w:rsid w:val="005B3716"/>
    <w:rsid w:val="005B3BF6"/>
    <w:rsid w:val="005B3D4A"/>
    <w:rsid w:val="005B4BF2"/>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4D6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A76"/>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5B63"/>
    <w:rsid w:val="005F61D7"/>
    <w:rsid w:val="005F6833"/>
    <w:rsid w:val="005F69F7"/>
    <w:rsid w:val="005F6B77"/>
    <w:rsid w:val="005F7487"/>
    <w:rsid w:val="006002C7"/>
    <w:rsid w:val="00600F95"/>
    <w:rsid w:val="00601839"/>
    <w:rsid w:val="00601E66"/>
    <w:rsid w:val="00602759"/>
    <w:rsid w:val="0060277A"/>
    <w:rsid w:val="006027C7"/>
    <w:rsid w:val="00602B7C"/>
    <w:rsid w:val="00603312"/>
    <w:rsid w:val="006041B9"/>
    <w:rsid w:val="006043A0"/>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1AC2"/>
    <w:rsid w:val="00612B47"/>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47DD0"/>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B9F"/>
    <w:rsid w:val="00664FF3"/>
    <w:rsid w:val="006653FC"/>
    <w:rsid w:val="00665441"/>
    <w:rsid w:val="00665F87"/>
    <w:rsid w:val="006661ED"/>
    <w:rsid w:val="00666D8D"/>
    <w:rsid w:val="00667078"/>
    <w:rsid w:val="0066732C"/>
    <w:rsid w:val="006679C3"/>
    <w:rsid w:val="006679F5"/>
    <w:rsid w:val="00667A2C"/>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3EB"/>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05B"/>
    <w:rsid w:val="006D62BC"/>
    <w:rsid w:val="006D6450"/>
    <w:rsid w:val="006D660F"/>
    <w:rsid w:val="006D6707"/>
    <w:rsid w:val="006D6939"/>
    <w:rsid w:val="006D6B74"/>
    <w:rsid w:val="006D6C98"/>
    <w:rsid w:val="006D73E9"/>
    <w:rsid w:val="006D74CC"/>
    <w:rsid w:val="006D753B"/>
    <w:rsid w:val="006D7A5E"/>
    <w:rsid w:val="006D7EB0"/>
    <w:rsid w:val="006E0138"/>
    <w:rsid w:val="006E0BB0"/>
    <w:rsid w:val="006E12C3"/>
    <w:rsid w:val="006E18FD"/>
    <w:rsid w:val="006E1C1B"/>
    <w:rsid w:val="006E1CF5"/>
    <w:rsid w:val="006E2529"/>
    <w:rsid w:val="006E27F8"/>
    <w:rsid w:val="006E42A2"/>
    <w:rsid w:val="006E45F3"/>
    <w:rsid w:val="006E4647"/>
    <w:rsid w:val="006E4900"/>
    <w:rsid w:val="006E4A2F"/>
    <w:rsid w:val="006E4ED4"/>
    <w:rsid w:val="006E5E19"/>
    <w:rsid w:val="006E61C3"/>
    <w:rsid w:val="006E799D"/>
    <w:rsid w:val="006E7A81"/>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5D7"/>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2B1"/>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374"/>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E29"/>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FB0"/>
    <w:rsid w:val="00786958"/>
    <w:rsid w:val="00786E71"/>
    <w:rsid w:val="007872CF"/>
    <w:rsid w:val="00787B2F"/>
    <w:rsid w:val="00790290"/>
    <w:rsid w:val="0079069C"/>
    <w:rsid w:val="0079162F"/>
    <w:rsid w:val="00791A35"/>
    <w:rsid w:val="00791B69"/>
    <w:rsid w:val="007933CC"/>
    <w:rsid w:val="00793E50"/>
    <w:rsid w:val="007941F5"/>
    <w:rsid w:val="00794924"/>
    <w:rsid w:val="00796463"/>
    <w:rsid w:val="0079657B"/>
    <w:rsid w:val="00797240"/>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19B"/>
    <w:rsid w:val="007B461D"/>
    <w:rsid w:val="007B4EA3"/>
    <w:rsid w:val="007B52CD"/>
    <w:rsid w:val="007B5970"/>
    <w:rsid w:val="007B6526"/>
    <w:rsid w:val="007B7DC1"/>
    <w:rsid w:val="007B7EDB"/>
    <w:rsid w:val="007C09F6"/>
    <w:rsid w:val="007C19AD"/>
    <w:rsid w:val="007C1B9F"/>
    <w:rsid w:val="007C1EBA"/>
    <w:rsid w:val="007C2077"/>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1FC5"/>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3AB"/>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001"/>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0F59"/>
    <w:rsid w:val="00811740"/>
    <w:rsid w:val="00811835"/>
    <w:rsid w:val="00811862"/>
    <w:rsid w:val="00811D0D"/>
    <w:rsid w:val="00812EAC"/>
    <w:rsid w:val="00813BEB"/>
    <w:rsid w:val="0081581D"/>
    <w:rsid w:val="0081677C"/>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88"/>
    <w:rsid w:val="0083619F"/>
    <w:rsid w:val="00836844"/>
    <w:rsid w:val="00836A07"/>
    <w:rsid w:val="00836D31"/>
    <w:rsid w:val="008376F6"/>
    <w:rsid w:val="00837BDF"/>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11C7"/>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06C"/>
    <w:rsid w:val="0086669E"/>
    <w:rsid w:val="00866EB3"/>
    <w:rsid w:val="0086701A"/>
    <w:rsid w:val="00867BD2"/>
    <w:rsid w:val="00870AC9"/>
    <w:rsid w:val="008712FD"/>
    <w:rsid w:val="008716A1"/>
    <w:rsid w:val="008716F3"/>
    <w:rsid w:val="008717AD"/>
    <w:rsid w:val="00871E38"/>
    <w:rsid w:val="00872AA2"/>
    <w:rsid w:val="00872AC9"/>
    <w:rsid w:val="00872B90"/>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0B"/>
    <w:rsid w:val="008B775C"/>
    <w:rsid w:val="008B7B08"/>
    <w:rsid w:val="008C0196"/>
    <w:rsid w:val="008C077E"/>
    <w:rsid w:val="008C094D"/>
    <w:rsid w:val="008C13AF"/>
    <w:rsid w:val="008C13F0"/>
    <w:rsid w:val="008C1F26"/>
    <w:rsid w:val="008C256A"/>
    <w:rsid w:val="008C2A3A"/>
    <w:rsid w:val="008C2DEB"/>
    <w:rsid w:val="008C30D4"/>
    <w:rsid w:val="008C3416"/>
    <w:rsid w:val="008C3633"/>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176B"/>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75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F0"/>
    <w:rsid w:val="00933F56"/>
    <w:rsid w:val="009343CA"/>
    <w:rsid w:val="00934C13"/>
    <w:rsid w:val="00935228"/>
    <w:rsid w:val="009355A2"/>
    <w:rsid w:val="009355F7"/>
    <w:rsid w:val="00935F9E"/>
    <w:rsid w:val="00936602"/>
    <w:rsid w:val="00936D98"/>
    <w:rsid w:val="00937AF0"/>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1C82"/>
    <w:rsid w:val="00952875"/>
    <w:rsid w:val="00952F59"/>
    <w:rsid w:val="0095380C"/>
    <w:rsid w:val="00954320"/>
    <w:rsid w:val="00954353"/>
    <w:rsid w:val="00954656"/>
    <w:rsid w:val="00955868"/>
    <w:rsid w:val="009559C7"/>
    <w:rsid w:val="00955C0A"/>
    <w:rsid w:val="00955C4F"/>
    <w:rsid w:val="00955FB9"/>
    <w:rsid w:val="0095647F"/>
    <w:rsid w:val="00956721"/>
    <w:rsid w:val="00956B36"/>
    <w:rsid w:val="00957499"/>
    <w:rsid w:val="00960571"/>
    <w:rsid w:val="00962C53"/>
    <w:rsid w:val="0096331A"/>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5FCC"/>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347"/>
    <w:rsid w:val="009C1428"/>
    <w:rsid w:val="009C16AE"/>
    <w:rsid w:val="009C2131"/>
    <w:rsid w:val="009C2685"/>
    <w:rsid w:val="009C39BC"/>
    <w:rsid w:val="009C4638"/>
    <w:rsid w:val="009C4994"/>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A48"/>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8F8"/>
    <w:rsid w:val="00A07A48"/>
    <w:rsid w:val="00A07F8B"/>
    <w:rsid w:val="00A10163"/>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5A02"/>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57CE"/>
    <w:rsid w:val="00A3611D"/>
    <w:rsid w:val="00A36339"/>
    <w:rsid w:val="00A363A5"/>
    <w:rsid w:val="00A36557"/>
    <w:rsid w:val="00A366E4"/>
    <w:rsid w:val="00A371B2"/>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41D"/>
    <w:rsid w:val="00A54599"/>
    <w:rsid w:val="00A54678"/>
    <w:rsid w:val="00A54B82"/>
    <w:rsid w:val="00A555BE"/>
    <w:rsid w:val="00A557FC"/>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C6"/>
    <w:rsid w:val="00A714A4"/>
    <w:rsid w:val="00A71CE6"/>
    <w:rsid w:val="00A71D23"/>
    <w:rsid w:val="00A731F8"/>
    <w:rsid w:val="00A73201"/>
    <w:rsid w:val="00A7333A"/>
    <w:rsid w:val="00A73D0D"/>
    <w:rsid w:val="00A73E3D"/>
    <w:rsid w:val="00A74A92"/>
    <w:rsid w:val="00A75CC1"/>
    <w:rsid w:val="00A75E88"/>
    <w:rsid w:val="00A76099"/>
    <w:rsid w:val="00A760DE"/>
    <w:rsid w:val="00A76418"/>
    <w:rsid w:val="00A7673E"/>
    <w:rsid w:val="00A775BA"/>
    <w:rsid w:val="00A7767A"/>
    <w:rsid w:val="00A778DB"/>
    <w:rsid w:val="00A77A3F"/>
    <w:rsid w:val="00A77CF7"/>
    <w:rsid w:val="00A77FE2"/>
    <w:rsid w:val="00A802BE"/>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A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165"/>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757"/>
    <w:rsid w:val="00AD0A51"/>
    <w:rsid w:val="00AD0B37"/>
    <w:rsid w:val="00AD0E55"/>
    <w:rsid w:val="00AD11F7"/>
    <w:rsid w:val="00AD1260"/>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224"/>
    <w:rsid w:val="00B10558"/>
    <w:rsid w:val="00B10565"/>
    <w:rsid w:val="00B10EB2"/>
    <w:rsid w:val="00B10F13"/>
    <w:rsid w:val="00B11049"/>
    <w:rsid w:val="00B1196C"/>
    <w:rsid w:val="00B120FB"/>
    <w:rsid w:val="00B1246E"/>
    <w:rsid w:val="00B13EDD"/>
    <w:rsid w:val="00B140AC"/>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740"/>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8AD"/>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BAC"/>
    <w:rsid w:val="00B63C32"/>
    <w:rsid w:val="00B63F56"/>
    <w:rsid w:val="00B64434"/>
    <w:rsid w:val="00B64973"/>
    <w:rsid w:val="00B64D57"/>
    <w:rsid w:val="00B65102"/>
    <w:rsid w:val="00B65225"/>
    <w:rsid w:val="00B6593D"/>
    <w:rsid w:val="00B65A66"/>
    <w:rsid w:val="00B65C5B"/>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45C"/>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692"/>
    <w:rsid w:val="00B96AEB"/>
    <w:rsid w:val="00B96BEF"/>
    <w:rsid w:val="00B96DC8"/>
    <w:rsid w:val="00B96FC0"/>
    <w:rsid w:val="00B97260"/>
    <w:rsid w:val="00B976E0"/>
    <w:rsid w:val="00B977B2"/>
    <w:rsid w:val="00B97A69"/>
    <w:rsid w:val="00BA03E6"/>
    <w:rsid w:val="00BA0632"/>
    <w:rsid w:val="00BA08F2"/>
    <w:rsid w:val="00BA09A8"/>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56CB"/>
    <w:rsid w:val="00BA6B5C"/>
    <w:rsid w:val="00BB1548"/>
    <w:rsid w:val="00BB1B70"/>
    <w:rsid w:val="00BB1C56"/>
    <w:rsid w:val="00BB1CE7"/>
    <w:rsid w:val="00BB2649"/>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151"/>
    <w:rsid w:val="00BF0274"/>
    <w:rsid w:val="00BF08C4"/>
    <w:rsid w:val="00BF08DD"/>
    <w:rsid w:val="00BF0BAF"/>
    <w:rsid w:val="00BF1769"/>
    <w:rsid w:val="00BF19CE"/>
    <w:rsid w:val="00BF2B6F"/>
    <w:rsid w:val="00BF351A"/>
    <w:rsid w:val="00BF3866"/>
    <w:rsid w:val="00BF3877"/>
    <w:rsid w:val="00BF3914"/>
    <w:rsid w:val="00BF49B1"/>
    <w:rsid w:val="00BF4A1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2CD6"/>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2C2B"/>
    <w:rsid w:val="00C4304C"/>
    <w:rsid w:val="00C43315"/>
    <w:rsid w:val="00C44A5E"/>
    <w:rsid w:val="00C45160"/>
    <w:rsid w:val="00C452F5"/>
    <w:rsid w:val="00C45679"/>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6A37"/>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5DCF"/>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39B8"/>
    <w:rsid w:val="00C9412B"/>
    <w:rsid w:val="00C944FA"/>
    <w:rsid w:val="00C94788"/>
    <w:rsid w:val="00C94BBB"/>
    <w:rsid w:val="00C953FA"/>
    <w:rsid w:val="00C95451"/>
    <w:rsid w:val="00C95854"/>
    <w:rsid w:val="00C95C42"/>
    <w:rsid w:val="00C95CA8"/>
    <w:rsid w:val="00C95EFF"/>
    <w:rsid w:val="00C9629F"/>
    <w:rsid w:val="00C96344"/>
    <w:rsid w:val="00C96E6F"/>
    <w:rsid w:val="00C97872"/>
    <w:rsid w:val="00C97CB9"/>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263"/>
    <w:rsid w:val="00CC3A23"/>
    <w:rsid w:val="00CC3B3B"/>
    <w:rsid w:val="00CC43A1"/>
    <w:rsid w:val="00CC4D3E"/>
    <w:rsid w:val="00CC6CE3"/>
    <w:rsid w:val="00CC737C"/>
    <w:rsid w:val="00CC79F0"/>
    <w:rsid w:val="00CC7D06"/>
    <w:rsid w:val="00CD073C"/>
    <w:rsid w:val="00CD087D"/>
    <w:rsid w:val="00CD0F5D"/>
    <w:rsid w:val="00CD1993"/>
    <w:rsid w:val="00CD1C0B"/>
    <w:rsid w:val="00CD239A"/>
    <w:rsid w:val="00CD34B7"/>
    <w:rsid w:val="00CD37C6"/>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035E"/>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55"/>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0B"/>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04FB"/>
    <w:rsid w:val="00D51847"/>
    <w:rsid w:val="00D51B39"/>
    <w:rsid w:val="00D51D12"/>
    <w:rsid w:val="00D52295"/>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A9D"/>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C50"/>
    <w:rsid w:val="00DB4378"/>
    <w:rsid w:val="00DB4747"/>
    <w:rsid w:val="00DB485D"/>
    <w:rsid w:val="00DB49C6"/>
    <w:rsid w:val="00DB5203"/>
    <w:rsid w:val="00DB60A9"/>
    <w:rsid w:val="00DB6CFA"/>
    <w:rsid w:val="00DB6D23"/>
    <w:rsid w:val="00DB6F5D"/>
    <w:rsid w:val="00DB796B"/>
    <w:rsid w:val="00DC03C5"/>
    <w:rsid w:val="00DC0699"/>
    <w:rsid w:val="00DC09FE"/>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8F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AE9"/>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38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C68"/>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07E9D"/>
    <w:rsid w:val="00E10879"/>
    <w:rsid w:val="00E10FA6"/>
    <w:rsid w:val="00E116C7"/>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6A0"/>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0BC5"/>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130"/>
    <w:rsid w:val="00E55AF4"/>
    <w:rsid w:val="00E5733D"/>
    <w:rsid w:val="00E6044E"/>
    <w:rsid w:val="00E606C8"/>
    <w:rsid w:val="00E60CE5"/>
    <w:rsid w:val="00E615EB"/>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716"/>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3CD"/>
    <w:rsid w:val="00E92442"/>
    <w:rsid w:val="00E934F1"/>
    <w:rsid w:val="00E935F4"/>
    <w:rsid w:val="00E93ED0"/>
    <w:rsid w:val="00E93F19"/>
    <w:rsid w:val="00E94219"/>
    <w:rsid w:val="00E94B21"/>
    <w:rsid w:val="00E94E3B"/>
    <w:rsid w:val="00E95383"/>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AC3"/>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3989"/>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0B6"/>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05D"/>
    <w:rsid w:val="00F036A7"/>
    <w:rsid w:val="00F03C85"/>
    <w:rsid w:val="00F03E79"/>
    <w:rsid w:val="00F0423D"/>
    <w:rsid w:val="00F053A4"/>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70F"/>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2AD3"/>
    <w:rsid w:val="00F235FC"/>
    <w:rsid w:val="00F24596"/>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3EF"/>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BFB"/>
    <w:rsid w:val="00F56DCF"/>
    <w:rsid w:val="00F57034"/>
    <w:rsid w:val="00F57572"/>
    <w:rsid w:val="00F579F1"/>
    <w:rsid w:val="00F60174"/>
    <w:rsid w:val="00F6058B"/>
    <w:rsid w:val="00F60A6C"/>
    <w:rsid w:val="00F60BE9"/>
    <w:rsid w:val="00F60E4E"/>
    <w:rsid w:val="00F6130A"/>
    <w:rsid w:val="00F6189A"/>
    <w:rsid w:val="00F61FD8"/>
    <w:rsid w:val="00F62303"/>
    <w:rsid w:val="00F62554"/>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0A"/>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48"/>
    <w:rsid w:val="00FE53AC"/>
    <w:rsid w:val="00FE67CF"/>
    <w:rsid w:val="00FE6901"/>
    <w:rsid w:val="00FE6C7F"/>
    <w:rsid w:val="00FE6D20"/>
    <w:rsid w:val="00FE6EDE"/>
    <w:rsid w:val="00FE6FB9"/>
    <w:rsid w:val="00FE71B1"/>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71B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71E38"/>
    <w:pPr>
      <w:keepNext/>
      <w:spacing w:before="1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12CD6"/>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CEC10-3179-45CD-B9D6-EF078249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3455</TotalTime>
  <Pages>3</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183</cp:revision>
  <cp:lastPrinted>2007-06-19T12:08:00Z</cp:lastPrinted>
  <dcterms:created xsi:type="dcterms:W3CDTF">2024-11-07T11:23:00Z</dcterms:created>
  <dcterms:modified xsi:type="dcterms:W3CDTF">2025-02-07T03:57:00Z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1738725103</vt:lpwstr>
  </property>
</Properties>
</file>